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91A3A" w14:textId="77777777" w:rsidR="00FC53CA" w:rsidRPr="00011155" w:rsidRDefault="00FC53CA" w:rsidP="00011155">
      <w:pPr>
        <w:widowControl w:val="0"/>
        <w:autoSpaceDE w:val="0"/>
        <w:autoSpaceDN w:val="0"/>
        <w:adjustRightInd w:val="0"/>
        <w:spacing w:line="240" w:lineRule="auto"/>
        <w:jc w:val="both"/>
        <w:rPr>
          <w:lang w:val="es-CO"/>
        </w:rPr>
      </w:pPr>
    </w:p>
    <w:p w14:paraId="17B00FCB" w14:textId="5A53C0F4" w:rsidR="00FC53CA" w:rsidRPr="00011155" w:rsidRDefault="00FC53CA" w:rsidP="00011155">
      <w:pPr>
        <w:widowControl w:val="0"/>
        <w:autoSpaceDE w:val="0"/>
        <w:autoSpaceDN w:val="0"/>
        <w:adjustRightInd w:val="0"/>
        <w:spacing w:line="240" w:lineRule="auto"/>
        <w:jc w:val="both"/>
        <w:rPr>
          <w:lang w:val="es-CO"/>
        </w:rPr>
      </w:pPr>
      <w:r w:rsidRPr="00011155">
        <w:rPr>
          <w:lang w:val="es-CO"/>
        </w:rPr>
        <w:t xml:space="preserve">Bogotá D.C, </w:t>
      </w:r>
      <w:r w:rsidR="006D0048" w:rsidRPr="00011155">
        <w:rPr>
          <w:lang w:val="es-CO"/>
        </w:rPr>
        <w:t>noviembre</w:t>
      </w:r>
      <w:r w:rsidR="00136007" w:rsidRPr="00011155">
        <w:rPr>
          <w:lang w:val="es-CO"/>
        </w:rPr>
        <w:t xml:space="preserve"> </w:t>
      </w:r>
      <w:r w:rsidR="006D0048" w:rsidRPr="00011155">
        <w:rPr>
          <w:lang w:val="es-CO"/>
        </w:rPr>
        <w:t xml:space="preserve">14 </w:t>
      </w:r>
      <w:r w:rsidRPr="00011155">
        <w:rPr>
          <w:lang w:val="es-CO"/>
        </w:rPr>
        <w:t xml:space="preserve">de 2018 </w:t>
      </w:r>
    </w:p>
    <w:p w14:paraId="585AA7BA" w14:textId="77777777" w:rsidR="00FC53CA" w:rsidRPr="00011155" w:rsidRDefault="00FC53CA" w:rsidP="00011155">
      <w:pPr>
        <w:widowControl w:val="0"/>
        <w:autoSpaceDE w:val="0"/>
        <w:autoSpaceDN w:val="0"/>
        <w:adjustRightInd w:val="0"/>
        <w:spacing w:line="240" w:lineRule="auto"/>
        <w:jc w:val="both"/>
        <w:rPr>
          <w:lang w:val="es-CO"/>
        </w:rPr>
      </w:pPr>
    </w:p>
    <w:p w14:paraId="630FE04D" w14:textId="77777777" w:rsidR="00136007" w:rsidRPr="00011155" w:rsidRDefault="00136007" w:rsidP="00011155">
      <w:pPr>
        <w:widowControl w:val="0"/>
        <w:autoSpaceDE w:val="0"/>
        <w:autoSpaceDN w:val="0"/>
        <w:adjustRightInd w:val="0"/>
        <w:spacing w:line="240" w:lineRule="auto"/>
        <w:jc w:val="both"/>
        <w:rPr>
          <w:lang w:val="es-CO"/>
        </w:rPr>
      </w:pPr>
    </w:p>
    <w:p w14:paraId="28E16144" w14:textId="3A76C1EA" w:rsidR="00493893" w:rsidRPr="00011155" w:rsidRDefault="00493893" w:rsidP="00011155">
      <w:pPr>
        <w:widowControl w:val="0"/>
        <w:autoSpaceDE w:val="0"/>
        <w:autoSpaceDN w:val="0"/>
        <w:adjustRightInd w:val="0"/>
        <w:spacing w:line="240" w:lineRule="auto"/>
        <w:jc w:val="both"/>
        <w:rPr>
          <w:lang w:val="es-CO"/>
        </w:rPr>
      </w:pPr>
      <w:r w:rsidRPr="00011155">
        <w:rPr>
          <w:lang w:val="es-CO"/>
        </w:rPr>
        <w:t>Señor</w:t>
      </w:r>
      <w:r w:rsidR="00136007" w:rsidRPr="00011155">
        <w:rPr>
          <w:lang w:val="es-CO"/>
        </w:rPr>
        <w:t xml:space="preserve"> </w:t>
      </w:r>
      <w:proofErr w:type="gramStart"/>
      <w:r w:rsidR="00136007" w:rsidRPr="00011155">
        <w:rPr>
          <w:lang w:val="es-CO"/>
        </w:rPr>
        <w:t>Ministro</w:t>
      </w:r>
      <w:proofErr w:type="gramEnd"/>
    </w:p>
    <w:p w14:paraId="695D273F" w14:textId="430034AF" w:rsidR="00493893" w:rsidRPr="00011155" w:rsidRDefault="006D0048" w:rsidP="00011155">
      <w:pPr>
        <w:widowControl w:val="0"/>
        <w:autoSpaceDE w:val="0"/>
        <w:autoSpaceDN w:val="0"/>
        <w:adjustRightInd w:val="0"/>
        <w:spacing w:line="240" w:lineRule="auto"/>
        <w:jc w:val="both"/>
        <w:rPr>
          <w:b/>
          <w:lang w:val="es-CO"/>
        </w:rPr>
      </w:pPr>
      <w:r w:rsidRPr="00011155">
        <w:rPr>
          <w:b/>
          <w:lang w:val="es-CO"/>
        </w:rPr>
        <w:t>ALBERTO CARRASQUILLA</w:t>
      </w:r>
    </w:p>
    <w:p w14:paraId="35B788E9" w14:textId="3E7923F7" w:rsidR="00493893" w:rsidRPr="00011155" w:rsidRDefault="00136007" w:rsidP="00011155">
      <w:pPr>
        <w:widowControl w:val="0"/>
        <w:autoSpaceDE w:val="0"/>
        <w:autoSpaceDN w:val="0"/>
        <w:adjustRightInd w:val="0"/>
        <w:spacing w:line="240" w:lineRule="auto"/>
        <w:jc w:val="both"/>
        <w:rPr>
          <w:lang w:val="es-CO"/>
        </w:rPr>
      </w:pPr>
      <w:r w:rsidRPr="00011155">
        <w:rPr>
          <w:lang w:val="es-CO"/>
        </w:rPr>
        <w:t>Ministerio de Hacienda y Crédito Público</w:t>
      </w:r>
      <w:r w:rsidRPr="00011155">
        <w:rPr>
          <w:lang w:val="es-CO"/>
        </w:rPr>
        <w:tab/>
      </w:r>
      <w:r w:rsidR="00493893" w:rsidRPr="00011155">
        <w:rPr>
          <w:lang w:val="es-CO"/>
        </w:rPr>
        <w:t xml:space="preserve"> </w:t>
      </w:r>
    </w:p>
    <w:p w14:paraId="32FA31EC" w14:textId="77777777" w:rsidR="00493893" w:rsidRPr="00011155" w:rsidRDefault="00493893" w:rsidP="00011155">
      <w:pPr>
        <w:widowControl w:val="0"/>
        <w:autoSpaceDE w:val="0"/>
        <w:autoSpaceDN w:val="0"/>
        <w:adjustRightInd w:val="0"/>
        <w:spacing w:line="240" w:lineRule="auto"/>
        <w:jc w:val="both"/>
        <w:rPr>
          <w:lang w:val="es-CO"/>
        </w:rPr>
      </w:pPr>
      <w:r w:rsidRPr="00011155">
        <w:rPr>
          <w:lang w:val="es-CO"/>
        </w:rPr>
        <w:t xml:space="preserve">Carrera 8 </w:t>
      </w:r>
      <w:proofErr w:type="spellStart"/>
      <w:r w:rsidRPr="00011155">
        <w:rPr>
          <w:lang w:val="es-CO"/>
        </w:rPr>
        <w:t>Nº</w:t>
      </w:r>
      <w:proofErr w:type="spellEnd"/>
      <w:r w:rsidRPr="00011155">
        <w:rPr>
          <w:lang w:val="es-CO"/>
        </w:rPr>
        <w:t xml:space="preserve"> 6C - 38 Edificio San Agustín </w:t>
      </w:r>
    </w:p>
    <w:p w14:paraId="435A0C24" w14:textId="77777777" w:rsidR="00493893" w:rsidRPr="00011155" w:rsidRDefault="00493893" w:rsidP="00011155">
      <w:pPr>
        <w:widowControl w:val="0"/>
        <w:autoSpaceDE w:val="0"/>
        <w:autoSpaceDN w:val="0"/>
        <w:adjustRightInd w:val="0"/>
        <w:spacing w:line="240" w:lineRule="auto"/>
        <w:jc w:val="both"/>
        <w:rPr>
          <w:lang w:val="es-CO"/>
        </w:rPr>
      </w:pPr>
      <w:r w:rsidRPr="00011155">
        <w:rPr>
          <w:lang w:val="es-CO"/>
        </w:rPr>
        <w:t xml:space="preserve">Bogotá D.C. </w:t>
      </w:r>
    </w:p>
    <w:p w14:paraId="7090A002" w14:textId="77777777" w:rsidR="00493893" w:rsidRPr="00011155" w:rsidRDefault="00493893" w:rsidP="00011155">
      <w:pPr>
        <w:widowControl w:val="0"/>
        <w:autoSpaceDE w:val="0"/>
        <w:autoSpaceDN w:val="0"/>
        <w:adjustRightInd w:val="0"/>
        <w:spacing w:line="240" w:lineRule="auto"/>
        <w:jc w:val="both"/>
        <w:rPr>
          <w:lang w:val="es-CO"/>
        </w:rPr>
      </w:pPr>
    </w:p>
    <w:p w14:paraId="7757723F" w14:textId="652B5B3A" w:rsidR="00493893" w:rsidRPr="00011155" w:rsidRDefault="00493893" w:rsidP="00011155">
      <w:pPr>
        <w:widowControl w:val="0"/>
        <w:autoSpaceDE w:val="0"/>
        <w:autoSpaceDN w:val="0"/>
        <w:adjustRightInd w:val="0"/>
        <w:spacing w:line="240" w:lineRule="auto"/>
        <w:ind w:left="720"/>
        <w:jc w:val="both"/>
        <w:rPr>
          <w:b/>
          <w:i/>
          <w:lang w:val="es-CO"/>
        </w:rPr>
      </w:pPr>
      <w:r w:rsidRPr="00011155">
        <w:rPr>
          <w:b/>
          <w:lang w:val="es-CO"/>
        </w:rPr>
        <w:t>Asunto. Comentarios al borrador</w:t>
      </w:r>
      <w:r w:rsidR="00136007" w:rsidRPr="00011155">
        <w:rPr>
          <w:b/>
          <w:lang w:val="es-CO"/>
        </w:rPr>
        <w:t xml:space="preserve"> de Decreto “</w:t>
      </w:r>
      <w:r w:rsidR="006D0048" w:rsidRPr="00011155">
        <w:rPr>
          <w:b/>
          <w:lang w:val="es-CO"/>
        </w:rPr>
        <w:t>Por el cual se modifica y adiciona el Decreto 1625 de 2016 Único Reglamentario en Materia Tributaria</w:t>
      </w:r>
      <w:r w:rsidR="00B13ECE" w:rsidRPr="00011155">
        <w:rPr>
          <w:b/>
          <w:lang w:val="es-CO"/>
        </w:rPr>
        <w:t xml:space="preserve">”. </w:t>
      </w:r>
    </w:p>
    <w:p w14:paraId="70C6CF19" w14:textId="77777777" w:rsidR="00FC53CA" w:rsidRPr="00011155" w:rsidRDefault="00FC53CA" w:rsidP="00011155">
      <w:pPr>
        <w:widowControl w:val="0"/>
        <w:autoSpaceDE w:val="0"/>
        <w:autoSpaceDN w:val="0"/>
        <w:adjustRightInd w:val="0"/>
        <w:spacing w:line="240" w:lineRule="auto"/>
        <w:jc w:val="both"/>
        <w:rPr>
          <w:lang w:val="es-CO"/>
        </w:rPr>
      </w:pPr>
    </w:p>
    <w:p w14:paraId="1603E7CC" w14:textId="46DEE8C3" w:rsidR="003B635D" w:rsidRPr="00011155" w:rsidRDefault="003B635D" w:rsidP="00011155">
      <w:pPr>
        <w:widowControl w:val="0"/>
        <w:autoSpaceDE w:val="0"/>
        <w:autoSpaceDN w:val="0"/>
        <w:adjustRightInd w:val="0"/>
        <w:spacing w:line="240" w:lineRule="auto"/>
        <w:jc w:val="both"/>
        <w:rPr>
          <w:lang w:val="es-CO"/>
        </w:rPr>
      </w:pPr>
      <w:r w:rsidRPr="00011155">
        <w:rPr>
          <w:lang w:val="es-CO"/>
        </w:rPr>
        <w:t xml:space="preserve">Respetado señor </w:t>
      </w:r>
      <w:proofErr w:type="gramStart"/>
      <w:r w:rsidR="00B13ECE" w:rsidRPr="00011155">
        <w:rPr>
          <w:lang w:val="es-CO"/>
        </w:rPr>
        <w:t>Ministro</w:t>
      </w:r>
      <w:proofErr w:type="gramEnd"/>
      <w:r w:rsidR="00B13ECE" w:rsidRPr="00011155">
        <w:rPr>
          <w:lang w:val="es-CO"/>
        </w:rPr>
        <w:t xml:space="preserve">: </w:t>
      </w:r>
    </w:p>
    <w:p w14:paraId="2EE03E60" w14:textId="77777777" w:rsidR="003B635D" w:rsidRPr="00011155" w:rsidRDefault="003B635D" w:rsidP="00011155">
      <w:pPr>
        <w:widowControl w:val="0"/>
        <w:autoSpaceDE w:val="0"/>
        <w:autoSpaceDN w:val="0"/>
        <w:adjustRightInd w:val="0"/>
        <w:spacing w:line="240" w:lineRule="auto"/>
        <w:jc w:val="both"/>
        <w:rPr>
          <w:lang w:val="es-CO"/>
        </w:rPr>
      </w:pPr>
    </w:p>
    <w:p w14:paraId="183F8C88" w14:textId="6FACC5FF" w:rsidR="003B635D" w:rsidRPr="00011155" w:rsidRDefault="003B635D" w:rsidP="00011155">
      <w:pPr>
        <w:widowControl w:val="0"/>
        <w:autoSpaceDE w:val="0"/>
        <w:autoSpaceDN w:val="0"/>
        <w:adjustRightInd w:val="0"/>
        <w:spacing w:line="240" w:lineRule="auto"/>
        <w:jc w:val="both"/>
        <w:rPr>
          <w:i/>
          <w:lang w:val="es-CO"/>
        </w:rPr>
      </w:pPr>
      <w:r w:rsidRPr="00011155">
        <w:rPr>
          <w:lang w:val="es-CO"/>
        </w:rPr>
        <w:t>De manera atenta, la Cámara Colombiana de Comercio Electrónico</w:t>
      </w:r>
      <w:r w:rsidR="00B13ECE" w:rsidRPr="00011155">
        <w:rPr>
          <w:lang w:val="es-CO"/>
        </w:rPr>
        <w:t xml:space="preserve"> (CCCE), gremio que agrupa </w:t>
      </w:r>
      <w:r w:rsidR="006D0048" w:rsidRPr="00011155">
        <w:rPr>
          <w:lang w:val="es-CO"/>
        </w:rPr>
        <w:t>más</w:t>
      </w:r>
      <w:r w:rsidR="00B13ECE" w:rsidRPr="00011155">
        <w:rPr>
          <w:lang w:val="es-CO"/>
        </w:rPr>
        <w:t xml:space="preserve"> de cuatrocientas (400) empresas</w:t>
      </w:r>
      <w:r w:rsidR="00011155" w:rsidRPr="00011155">
        <w:rPr>
          <w:lang w:val="es-CO"/>
        </w:rPr>
        <w:t xml:space="preserve"> entre las cuales se</w:t>
      </w:r>
      <w:r w:rsidR="00011155">
        <w:rPr>
          <w:lang w:val="es-CO"/>
        </w:rPr>
        <w:t xml:space="preserve"> destacan </w:t>
      </w:r>
      <w:r w:rsidR="00226ECC">
        <w:rPr>
          <w:lang w:val="es-CO"/>
        </w:rPr>
        <w:t>cuarenta y un</w:t>
      </w:r>
      <w:r w:rsidR="00011155">
        <w:rPr>
          <w:lang w:val="es-CO"/>
        </w:rPr>
        <w:t xml:space="preserve"> (</w:t>
      </w:r>
      <w:r w:rsidR="00226ECC">
        <w:rPr>
          <w:lang w:val="es-CO"/>
        </w:rPr>
        <w:t>41</w:t>
      </w:r>
      <w:r w:rsidR="00011155">
        <w:rPr>
          <w:lang w:val="es-CO"/>
        </w:rPr>
        <w:t>) Proveedores tecnológicos habilitados por la Dirección de Impuestos y Aduanas Nacionales  DIAN, y</w:t>
      </w:r>
      <w:r w:rsidR="00B13ECE" w:rsidRPr="00011155">
        <w:rPr>
          <w:lang w:val="es-CO"/>
        </w:rPr>
        <w:t xml:space="preserve"> </w:t>
      </w:r>
      <w:r w:rsidR="00011155" w:rsidRPr="00011155">
        <w:rPr>
          <w:lang w:val="es-CO"/>
        </w:rPr>
        <w:t>cuya misión es ser vocero de sus agremiados y promover un entorno favorable para el desarrollo del comercio electrónico aportando a la construcción de Política Pública y la generación de conocimiento y confianza en el sector</w:t>
      </w:r>
      <w:r w:rsidR="00B13ECE" w:rsidRPr="00011155">
        <w:rPr>
          <w:lang w:val="es-CO"/>
        </w:rPr>
        <w:t>,</w:t>
      </w:r>
      <w:r w:rsidRPr="00011155">
        <w:rPr>
          <w:lang w:val="es-CO"/>
        </w:rPr>
        <w:t xml:space="preserve"> procede</w:t>
      </w:r>
      <w:r w:rsidR="00B13ECE" w:rsidRPr="00011155">
        <w:rPr>
          <w:lang w:val="es-CO"/>
        </w:rPr>
        <w:t>mos</w:t>
      </w:r>
      <w:r w:rsidRPr="00011155">
        <w:rPr>
          <w:lang w:val="es-CO"/>
        </w:rPr>
        <w:t xml:space="preserve"> a realizar comentarios sobre el proyecto </w:t>
      </w:r>
      <w:r w:rsidR="00B13ECE" w:rsidRPr="00011155">
        <w:rPr>
          <w:lang w:val="es-CO"/>
        </w:rPr>
        <w:t xml:space="preserve">de Decreto </w:t>
      </w:r>
      <w:r w:rsidR="00B13ECE" w:rsidRPr="00011155">
        <w:rPr>
          <w:i/>
          <w:lang w:val="es-CO"/>
        </w:rPr>
        <w:t>“</w:t>
      </w:r>
      <w:r w:rsidR="006D0048" w:rsidRPr="00011155">
        <w:rPr>
          <w:i/>
          <w:lang w:val="es-CO"/>
        </w:rPr>
        <w:t>Por el cual se modifica y adiciona el Decreto 1625 de 2016 Único Reglamentario en Materia Tributaria</w:t>
      </w:r>
      <w:r w:rsidR="00B13ECE" w:rsidRPr="00011155">
        <w:rPr>
          <w:i/>
          <w:lang w:val="es-CO"/>
        </w:rPr>
        <w:t>”.</w:t>
      </w:r>
    </w:p>
    <w:p w14:paraId="24003A02" w14:textId="3B45BF29" w:rsidR="00B13ECE" w:rsidRPr="00011155" w:rsidRDefault="00B13ECE" w:rsidP="00011155">
      <w:pPr>
        <w:pStyle w:val="Sinespaciado"/>
        <w:jc w:val="both"/>
        <w:rPr>
          <w:lang w:val="es-CO"/>
        </w:rPr>
      </w:pPr>
    </w:p>
    <w:p w14:paraId="49D1EC41" w14:textId="67BD9B93" w:rsidR="007E4EA3" w:rsidRPr="007E4EA3" w:rsidRDefault="000124D8" w:rsidP="007E4EA3">
      <w:pPr>
        <w:pStyle w:val="Sinespaciado"/>
        <w:jc w:val="both"/>
        <w:rPr>
          <w:lang w:val="es-CO"/>
        </w:rPr>
      </w:pPr>
      <w:r>
        <w:rPr>
          <w:b/>
          <w:lang w:val="es-CO"/>
        </w:rPr>
        <w:t xml:space="preserve">Primer </w:t>
      </w:r>
      <w:r w:rsidR="00C81292" w:rsidRPr="00011155">
        <w:rPr>
          <w:b/>
          <w:lang w:val="es-CO"/>
        </w:rPr>
        <w:t>c</w:t>
      </w:r>
      <w:r w:rsidR="00DE4B1C" w:rsidRPr="00011155">
        <w:rPr>
          <w:b/>
          <w:lang w:val="es-CO"/>
        </w:rPr>
        <w:t>omentario.</w:t>
      </w:r>
      <w:r w:rsidR="00DE4B1C" w:rsidRPr="00011155">
        <w:rPr>
          <w:lang w:val="es-CO"/>
        </w:rPr>
        <w:t xml:space="preserve"> </w:t>
      </w:r>
      <w:r w:rsidR="007E4EA3" w:rsidRPr="007E4EA3">
        <w:rPr>
          <w:lang w:val="es-CO"/>
        </w:rPr>
        <w:t>En cuanto al parágrafo del artículo 1.6.1.4.1.1, éste reduce la aplicación de la factura electrónica a las empresas en la actualidad están obligadas y se encuentran facturando electrónicamente, y cuyas facturas electrónicas emitidas no han sido reconocidas como documento equivalente.</w:t>
      </w:r>
      <w:r w:rsidR="007E4EA3">
        <w:rPr>
          <w:lang w:val="es-CO"/>
        </w:rPr>
        <w:t xml:space="preserve"> </w:t>
      </w:r>
      <w:r w:rsidR="007E4EA3" w:rsidRPr="007E4EA3">
        <w:rPr>
          <w:lang w:val="es-CO"/>
        </w:rPr>
        <w:t>Adicional, creemos que esta nueva programación disminuye las salidas a producción de los clientes de los Proveedores Tecnológicos y generaría una desaceleración en la consecución de logros de la DIAN obtenidos al día de hoy</w:t>
      </w:r>
      <w:r w:rsidR="007E4EA3">
        <w:rPr>
          <w:lang w:val="es-CO"/>
        </w:rPr>
        <w:t xml:space="preserve"> tales como </w:t>
      </w:r>
      <w:r w:rsidR="007E4EA3" w:rsidRPr="007E4EA3">
        <w:rPr>
          <w:lang w:val="es-CO"/>
        </w:rPr>
        <w:t>contar con aproximadamente cinco mil empresas que han adoptado la factura electrónica</w:t>
      </w:r>
      <w:r w:rsidR="007E4EA3">
        <w:rPr>
          <w:lang w:val="es-CO"/>
        </w:rPr>
        <w:t>,</w:t>
      </w:r>
      <w:r w:rsidR="007E4EA3" w:rsidRPr="007E4EA3">
        <w:rPr>
          <w:lang w:val="es-CO"/>
        </w:rPr>
        <w:t xml:space="preserve"> </w:t>
      </w:r>
      <w:r w:rsidR="007E4EA3">
        <w:rPr>
          <w:lang w:val="es-CO"/>
        </w:rPr>
        <w:t>y la creación de</w:t>
      </w:r>
      <w:r w:rsidR="007E4EA3" w:rsidRPr="007E4EA3">
        <w:rPr>
          <w:lang w:val="es-CO"/>
        </w:rPr>
        <w:t xml:space="preserve"> conciencia que la factura electrónica es una realidad y</w:t>
      </w:r>
      <w:r w:rsidR="007E4EA3">
        <w:rPr>
          <w:lang w:val="es-CO"/>
        </w:rPr>
        <w:t xml:space="preserve"> es indispensable </w:t>
      </w:r>
      <w:r w:rsidR="007E4EA3" w:rsidRPr="007E4EA3">
        <w:rPr>
          <w:lang w:val="es-CO"/>
        </w:rPr>
        <w:t>para el desarrollo del país.</w:t>
      </w:r>
    </w:p>
    <w:p w14:paraId="15615A6C" w14:textId="77777777" w:rsidR="007E4EA3" w:rsidRDefault="007E4EA3" w:rsidP="007E4EA3">
      <w:pPr>
        <w:pStyle w:val="Sinespaciado"/>
        <w:ind w:left="720"/>
        <w:jc w:val="both"/>
        <w:rPr>
          <w:lang w:val="es-CO"/>
        </w:rPr>
      </w:pPr>
    </w:p>
    <w:p w14:paraId="52D6AEC9" w14:textId="77777777" w:rsidR="007E4EA3" w:rsidRDefault="007E4EA3" w:rsidP="007E4EA3">
      <w:pPr>
        <w:pStyle w:val="Sinespaciado"/>
        <w:jc w:val="both"/>
        <w:rPr>
          <w:lang w:val="es-CO"/>
        </w:rPr>
      </w:pPr>
      <w:r>
        <w:rPr>
          <w:lang w:val="es-CO"/>
        </w:rPr>
        <w:t>Por lo anterior</w:t>
      </w:r>
      <w:r w:rsidRPr="004A3FFD">
        <w:rPr>
          <w:lang w:val="es-CO"/>
        </w:rPr>
        <w:t xml:space="preserve"> consideramos un retroceso en la aplicación del control fiscal</w:t>
      </w:r>
      <w:r>
        <w:rPr>
          <w:lang w:val="es-CO"/>
        </w:rPr>
        <w:t xml:space="preserve"> la decisión de </w:t>
      </w:r>
      <w:r w:rsidRPr="004A3FFD">
        <w:rPr>
          <w:lang w:val="es-CO"/>
        </w:rPr>
        <w:t>pausar la obligatoriedad</w:t>
      </w:r>
      <w:r>
        <w:rPr>
          <w:lang w:val="es-CO"/>
        </w:rPr>
        <w:t xml:space="preserve">, por lo cual estimamos pertinente que </w:t>
      </w:r>
      <w:r w:rsidRPr="004A3FFD">
        <w:rPr>
          <w:lang w:val="es-CO"/>
        </w:rPr>
        <w:t>a partir del 1 de enero</w:t>
      </w:r>
      <w:r>
        <w:rPr>
          <w:lang w:val="es-CO"/>
        </w:rPr>
        <w:t xml:space="preserve"> de 2019 la exigencia en la implementación de la factura electrónica</w:t>
      </w:r>
      <w:r w:rsidRPr="008872E7">
        <w:rPr>
          <w:lang w:val="es-CO"/>
        </w:rPr>
        <w:t xml:space="preserve"> se dé con el esquema actual y de manera gradual </w:t>
      </w:r>
      <w:r>
        <w:rPr>
          <w:lang w:val="es-CO"/>
        </w:rPr>
        <w:t xml:space="preserve">tal y </w:t>
      </w:r>
      <w:r w:rsidRPr="008872E7">
        <w:rPr>
          <w:lang w:val="es-CO"/>
        </w:rPr>
        <w:t xml:space="preserve">como </w:t>
      </w:r>
      <w:r>
        <w:rPr>
          <w:lang w:val="es-CO"/>
        </w:rPr>
        <w:t xml:space="preserve">se había </w:t>
      </w:r>
      <w:r w:rsidRPr="008872E7">
        <w:rPr>
          <w:lang w:val="es-CO"/>
        </w:rPr>
        <w:t xml:space="preserve">planteado en el </w:t>
      </w:r>
      <w:r>
        <w:rPr>
          <w:lang w:val="es-CO"/>
        </w:rPr>
        <w:t>primer borrador de decreto</w:t>
      </w:r>
      <w:r w:rsidRPr="008872E7">
        <w:rPr>
          <w:lang w:val="es-CO"/>
        </w:rPr>
        <w:t>.</w:t>
      </w:r>
    </w:p>
    <w:p w14:paraId="10FC2EC9" w14:textId="77777777" w:rsidR="007E4EA3" w:rsidRPr="004A3FFD" w:rsidRDefault="007E4EA3" w:rsidP="007E4EA3">
      <w:pPr>
        <w:pStyle w:val="Sinespaciado"/>
        <w:ind w:left="720"/>
        <w:jc w:val="both"/>
        <w:rPr>
          <w:lang w:val="es-CO"/>
        </w:rPr>
      </w:pPr>
    </w:p>
    <w:p w14:paraId="359B9FB9" w14:textId="77777777" w:rsidR="007E4EA3" w:rsidRPr="004A3FFD" w:rsidRDefault="007E4EA3" w:rsidP="007E4EA3">
      <w:pPr>
        <w:pStyle w:val="Sinespaciado"/>
        <w:jc w:val="both"/>
        <w:rPr>
          <w:lang w:val="es-CO"/>
        </w:rPr>
      </w:pPr>
      <w:r>
        <w:rPr>
          <w:lang w:val="es-CO"/>
        </w:rPr>
        <w:t>Solicitamos</w:t>
      </w:r>
      <w:r w:rsidRPr="004A3FFD">
        <w:rPr>
          <w:lang w:val="es-CO"/>
        </w:rPr>
        <w:t xml:space="preserve"> una aclaración de la obligatoriedad frente a las fechas y</w:t>
      </w:r>
      <w:r>
        <w:rPr>
          <w:lang w:val="es-CO"/>
        </w:rPr>
        <w:t xml:space="preserve"> </w:t>
      </w:r>
      <w:r w:rsidRPr="004A3FFD">
        <w:rPr>
          <w:lang w:val="es-CO"/>
        </w:rPr>
        <w:t>si ello implicaría sanciones para quienes las incumplan</w:t>
      </w:r>
      <w:r>
        <w:rPr>
          <w:lang w:val="es-CO"/>
        </w:rPr>
        <w:t xml:space="preserve">, así como </w:t>
      </w:r>
      <w:r w:rsidRPr="004A3FFD">
        <w:rPr>
          <w:lang w:val="es-CO"/>
        </w:rPr>
        <w:t>se sugiere aclarar las condiciones para l</w:t>
      </w:r>
      <w:r>
        <w:rPr>
          <w:lang w:val="es-CO"/>
        </w:rPr>
        <w:t>a</w:t>
      </w:r>
      <w:r w:rsidRPr="004A3FFD">
        <w:rPr>
          <w:lang w:val="es-CO"/>
        </w:rPr>
        <w:t xml:space="preserve">s </w:t>
      </w:r>
      <w:r>
        <w:rPr>
          <w:lang w:val="es-CO"/>
        </w:rPr>
        <w:t xml:space="preserve">empresas </w:t>
      </w:r>
      <w:r w:rsidRPr="004A3FFD">
        <w:rPr>
          <w:lang w:val="es-CO"/>
        </w:rPr>
        <w:t>voluntari</w:t>
      </w:r>
      <w:r>
        <w:rPr>
          <w:lang w:val="es-CO"/>
        </w:rPr>
        <w:t>a</w:t>
      </w:r>
      <w:r w:rsidRPr="004A3FFD">
        <w:rPr>
          <w:lang w:val="es-CO"/>
        </w:rPr>
        <w:t xml:space="preserve">s </w:t>
      </w:r>
      <w:r>
        <w:rPr>
          <w:lang w:val="es-CO"/>
        </w:rPr>
        <w:t xml:space="preserve">que ya cuentan con </w:t>
      </w:r>
      <w:r w:rsidRPr="004A3FFD">
        <w:rPr>
          <w:lang w:val="es-CO"/>
        </w:rPr>
        <w:t>contratos firmados que pueden impactar económicamente a los PT.</w:t>
      </w:r>
    </w:p>
    <w:p w14:paraId="2E4B59B8" w14:textId="77777777" w:rsidR="007E4EA3" w:rsidRPr="004A3FFD" w:rsidRDefault="007E4EA3" w:rsidP="007E4EA3">
      <w:pPr>
        <w:pStyle w:val="Sinespaciado"/>
        <w:jc w:val="both"/>
        <w:rPr>
          <w:lang w:val="es-CO"/>
        </w:rPr>
      </w:pPr>
    </w:p>
    <w:p w14:paraId="1BBDB5B2" w14:textId="77777777" w:rsidR="007E4EA3" w:rsidRPr="004A3FFD" w:rsidRDefault="007E4EA3" w:rsidP="007E4EA3">
      <w:pPr>
        <w:pStyle w:val="Sinespaciado"/>
        <w:jc w:val="both"/>
        <w:rPr>
          <w:lang w:val="es-CO"/>
        </w:rPr>
      </w:pPr>
      <w:r>
        <w:rPr>
          <w:lang w:val="es-CO"/>
        </w:rPr>
        <w:t xml:space="preserve">De igual forma, recomendamos </w:t>
      </w:r>
      <w:r w:rsidRPr="004A3FFD">
        <w:rPr>
          <w:lang w:val="es-CO"/>
        </w:rPr>
        <w:t>coherencia con lo normado anteriormente, pues los cambios que proponen sin consultar la opinión de l</w:t>
      </w:r>
      <w:r>
        <w:rPr>
          <w:lang w:val="es-CO"/>
        </w:rPr>
        <w:t xml:space="preserve">os Proveedores Tecnológicos </w:t>
      </w:r>
      <w:r w:rsidRPr="004A3FFD">
        <w:rPr>
          <w:lang w:val="es-CO"/>
        </w:rPr>
        <w:t>que han generado un modelo de negocios con las normas iniciales, genera una incertidumbre jurídica que puede desencadenar en desequilibrios económicos.</w:t>
      </w:r>
    </w:p>
    <w:p w14:paraId="23FFBDCF" w14:textId="77777777" w:rsidR="007E4EA3" w:rsidRDefault="007E4EA3" w:rsidP="007E4EA3">
      <w:pPr>
        <w:pStyle w:val="Sinespaciado"/>
        <w:jc w:val="both"/>
        <w:rPr>
          <w:lang w:val="es-CO"/>
        </w:rPr>
      </w:pPr>
    </w:p>
    <w:p w14:paraId="1739F0E2" w14:textId="2FC23E04" w:rsidR="007E4EA3" w:rsidRDefault="007E4EA3" w:rsidP="00011155">
      <w:pPr>
        <w:pStyle w:val="Sinespaciado"/>
        <w:jc w:val="both"/>
        <w:rPr>
          <w:lang w:val="es-CO"/>
        </w:rPr>
      </w:pPr>
    </w:p>
    <w:p w14:paraId="15B3E72B" w14:textId="6078A32E" w:rsidR="00DE4B1C" w:rsidRPr="00011155" w:rsidRDefault="007E4EA3" w:rsidP="00011155">
      <w:pPr>
        <w:pStyle w:val="Sinespaciado"/>
        <w:jc w:val="both"/>
        <w:rPr>
          <w:lang w:val="es-CO"/>
        </w:rPr>
      </w:pPr>
      <w:r>
        <w:rPr>
          <w:b/>
          <w:lang w:val="es-CO"/>
        </w:rPr>
        <w:t>Segundo c</w:t>
      </w:r>
      <w:r w:rsidRPr="00011155">
        <w:rPr>
          <w:b/>
          <w:lang w:val="es-CO"/>
        </w:rPr>
        <w:t>omentario</w:t>
      </w:r>
      <w:r>
        <w:rPr>
          <w:b/>
          <w:lang w:val="es-CO"/>
        </w:rPr>
        <w:t>.</w:t>
      </w:r>
      <w:r w:rsidRPr="00011155">
        <w:rPr>
          <w:lang w:val="es-CO"/>
        </w:rPr>
        <w:t xml:space="preserve"> </w:t>
      </w:r>
      <w:r w:rsidR="00DE4B1C" w:rsidRPr="00011155">
        <w:rPr>
          <w:lang w:val="es-CO"/>
        </w:rPr>
        <w:t>Respecto al artículo 1:</w:t>
      </w:r>
    </w:p>
    <w:p w14:paraId="31B807B5" w14:textId="77777777" w:rsidR="00DE4B1C" w:rsidRPr="00011155" w:rsidRDefault="00DE4B1C" w:rsidP="00011155">
      <w:pPr>
        <w:pStyle w:val="Sinespaciado"/>
        <w:jc w:val="both"/>
        <w:rPr>
          <w:lang w:val="es-CO"/>
        </w:rPr>
      </w:pPr>
    </w:p>
    <w:p w14:paraId="7C0C6F3C" w14:textId="77777777" w:rsidR="00DE4B1C" w:rsidRPr="00011155" w:rsidRDefault="00DE4B1C" w:rsidP="00011155">
      <w:pPr>
        <w:pStyle w:val="Sinespaciado"/>
        <w:numPr>
          <w:ilvl w:val="0"/>
          <w:numId w:val="9"/>
        </w:numPr>
        <w:jc w:val="both"/>
        <w:rPr>
          <w:lang w:val="es-CO"/>
        </w:rPr>
      </w:pPr>
      <w:r w:rsidRPr="00011155">
        <w:rPr>
          <w:lang w:val="es-CO"/>
        </w:rPr>
        <w:t xml:space="preserve">Es necesario hacer claridad sobre el concepto de Factura Electrónica como documento equivalente, toda vez que la reglamentación anterior asimila el concepto </w:t>
      </w:r>
      <w:r w:rsidRPr="00011155">
        <w:rPr>
          <w:lang w:val="es-CO"/>
        </w:rPr>
        <w:lastRenderedPageBreak/>
        <w:t xml:space="preserve">a factura de venta. Así mismo, se solicita aclarar quienes son los “demás sujetos” a los que hace referencia el numeral 3 del Artículo 1.6.1.4.1.1. </w:t>
      </w:r>
    </w:p>
    <w:p w14:paraId="041451C1" w14:textId="77777777" w:rsidR="00DE4B1C" w:rsidRPr="00011155" w:rsidRDefault="00DE4B1C" w:rsidP="00011155">
      <w:pPr>
        <w:pStyle w:val="Sinespaciado"/>
        <w:jc w:val="both"/>
        <w:rPr>
          <w:lang w:val="es-CO"/>
        </w:rPr>
      </w:pPr>
    </w:p>
    <w:p w14:paraId="1A90FD75" w14:textId="5F428828" w:rsidR="00DE4B1C" w:rsidRPr="00011155" w:rsidRDefault="00DE4B1C" w:rsidP="00011155">
      <w:pPr>
        <w:pStyle w:val="Sinespaciado"/>
        <w:numPr>
          <w:ilvl w:val="0"/>
          <w:numId w:val="9"/>
        </w:numPr>
        <w:jc w:val="both"/>
        <w:rPr>
          <w:lang w:val="es-CO"/>
        </w:rPr>
      </w:pPr>
      <w:r w:rsidRPr="00011155">
        <w:rPr>
          <w:lang w:val="es-CO"/>
        </w:rPr>
        <w:t>Error de indicación e información inexistente ya que se indica que el proceso de habilitación está en el 1.6.1.4.1.10. No obstante, en dicho artículo se refiere a los requisitos de la factura de talonario o de papel. El procedimiento de habilitación mencionado no está especificado en ningún artículo del documento</w:t>
      </w:r>
      <w:r w:rsidR="008C3BDD" w:rsidRPr="00011155">
        <w:rPr>
          <w:lang w:val="es-CO"/>
        </w:rPr>
        <w:t>.</w:t>
      </w:r>
    </w:p>
    <w:p w14:paraId="278D8F7D" w14:textId="77777777" w:rsidR="00DE4B1C" w:rsidRPr="00011155" w:rsidRDefault="00DE4B1C" w:rsidP="00011155">
      <w:pPr>
        <w:pStyle w:val="Sinespaciado"/>
        <w:jc w:val="both"/>
        <w:rPr>
          <w:lang w:val="es-CO"/>
        </w:rPr>
      </w:pPr>
    </w:p>
    <w:p w14:paraId="436B478A" w14:textId="77777777" w:rsidR="004A3FFD" w:rsidRDefault="00C33F37" w:rsidP="004A3FFD">
      <w:pPr>
        <w:pStyle w:val="Sinespaciado"/>
        <w:numPr>
          <w:ilvl w:val="0"/>
          <w:numId w:val="9"/>
        </w:numPr>
        <w:jc w:val="both"/>
        <w:rPr>
          <w:lang w:val="es-CO"/>
        </w:rPr>
      </w:pPr>
      <w:r w:rsidRPr="00011155">
        <w:rPr>
          <w:lang w:val="es-CO"/>
        </w:rPr>
        <w:t>La palabra “Inconveniencia comercial” es muy ambigua y da pie para que las empresas se escuden en diferentes excusas para no implementar la facturación electrónica. Además</w:t>
      </w:r>
      <w:r w:rsidR="008C3BDD" w:rsidRPr="00011155">
        <w:rPr>
          <w:lang w:val="es-CO"/>
        </w:rPr>
        <w:t>,</w:t>
      </w:r>
      <w:r w:rsidRPr="00011155">
        <w:rPr>
          <w:lang w:val="es-CO"/>
        </w:rPr>
        <w:t xml:space="preserve"> se podría detener el proceso de masificación ya que no habla de una obligatoriedad, ni de sanciones.</w:t>
      </w:r>
    </w:p>
    <w:p w14:paraId="328275ED" w14:textId="77777777" w:rsidR="004A3FFD" w:rsidRPr="004A3FFD" w:rsidRDefault="004A3FFD" w:rsidP="004A3FFD">
      <w:pPr>
        <w:pStyle w:val="Sinespaciado"/>
        <w:ind w:left="720"/>
        <w:jc w:val="both"/>
        <w:rPr>
          <w:lang w:val="es-CO"/>
        </w:rPr>
      </w:pPr>
    </w:p>
    <w:p w14:paraId="2DC3E636" w14:textId="59C9DC91" w:rsidR="00C81292" w:rsidRPr="00011155" w:rsidRDefault="007E4EA3" w:rsidP="00011155">
      <w:pPr>
        <w:pStyle w:val="Sinespaciado"/>
        <w:jc w:val="both"/>
        <w:rPr>
          <w:lang w:val="es-CO"/>
        </w:rPr>
      </w:pPr>
      <w:r>
        <w:rPr>
          <w:b/>
          <w:lang w:val="es-CO"/>
        </w:rPr>
        <w:t>Tercer</w:t>
      </w:r>
      <w:r w:rsidR="00C81292" w:rsidRPr="00011155">
        <w:rPr>
          <w:b/>
          <w:lang w:val="es-CO"/>
        </w:rPr>
        <w:t xml:space="preserve"> comentario.</w:t>
      </w:r>
      <w:r w:rsidR="00C81292" w:rsidRPr="00011155">
        <w:rPr>
          <w:lang w:val="es-CO"/>
        </w:rPr>
        <w:t xml:space="preserve"> Al artículo 2: </w:t>
      </w:r>
    </w:p>
    <w:p w14:paraId="37541AB8" w14:textId="77777777" w:rsidR="00C81292" w:rsidRPr="00011155" w:rsidRDefault="00C81292" w:rsidP="00011155">
      <w:pPr>
        <w:pStyle w:val="Sinespaciado"/>
        <w:jc w:val="both"/>
        <w:rPr>
          <w:lang w:val="es-CO"/>
        </w:rPr>
      </w:pPr>
    </w:p>
    <w:p w14:paraId="562B959A" w14:textId="77777777" w:rsidR="00C81292" w:rsidRPr="00011155" w:rsidRDefault="00C81292" w:rsidP="00011155">
      <w:pPr>
        <w:pStyle w:val="Sinespaciado"/>
        <w:numPr>
          <w:ilvl w:val="0"/>
          <w:numId w:val="10"/>
        </w:numPr>
        <w:jc w:val="both"/>
        <w:rPr>
          <w:lang w:val="es-CO"/>
        </w:rPr>
      </w:pPr>
      <w:r w:rsidRPr="00011155">
        <w:rPr>
          <w:lang w:val="es-CO"/>
        </w:rPr>
        <w:t>Se recomienda expresar si la modificación al Capítulo 4 incluye también la Sección 1 (a partir del artículo 1.6.1.4.1.1.) de dicho capítulo toda vez que parecería derogarla.</w:t>
      </w:r>
    </w:p>
    <w:p w14:paraId="4D5F9E07" w14:textId="77777777" w:rsidR="00C81292" w:rsidRPr="00011155" w:rsidRDefault="00C81292" w:rsidP="00011155">
      <w:pPr>
        <w:pStyle w:val="Sinespaciado"/>
        <w:ind w:left="720"/>
        <w:jc w:val="both"/>
        <w:rPr>
          <w:lang w:val="es-CO"/>
        </w:rPr>
      </w:pPr>
    </w:p>
    <w:p w14:paraId="00052E35" w14:textId="3BA96786" w:rsidR="00C81292" w:rsidRPr="00011155" w:rsidRDefault="00C81292" w:rsidP="00011155">
      <w:pPr>
        <w:pStyle w:val="Sinespaciado"/>
        <w:numPr>
          <w:ilvl w:val="0"/>
          <w:numId w:val="10"/>
        </w:numPr>
        <w:jc w:val="both"/>
        <w:rPr>
          <w:lang w:val="es-CO"/>
        </w:rPr>
      </w:pPr>
      <w:r w:rsidRPr="00011155">
        <w:rPr>
          <w:lang w:val="es-CO"/>
        </w:rPr>
        <w:t>No es claro a cuáles sujetos les aplicaría el parágrafo del artículo motivo por el cual solicitamos su aclaración.</w:t>
      </w:r>
    </w:p>
    <w:p w14:paraId="64CB1849" w14:textId="5E6F8342" w:rsidR="00C81292" w:rsidRPr="00011155" w:rsidRDefault="00C81292" w:rsidP="00011155">
      <w:pPr>
        <w:pStyle w:val="Sinespaciado"/>
        <w:jc w:val="both"/>
        <w:rPr>
          <w:lang w:val="es-CO"/>
        </w:rPr>
      </w:pPr>
    </w:p>
    <w:p w14:paraId="0890C9CD" w14:textId="52EDAD3D" w:rsidR="00C81292" w:rsidRDefault="00C81292" w:rsidP="00011155">
      <w:pPr>
        <w:pStyle w:val="Sinespaciado"/>
        <w:numPr>
          <w:ilvl w:val="0"/>
          <w:numId w:val="9"/>
        </w:numPr>
        <w:jc w:val="both"/>
        <w:rPr>
          <w:lang w:val="es-CO"/>
        </w:rPr>
      </w:pPr>
      <w:r w:rsidRPr="00011155">
        <w:rPr>
          <w:lang w:val="es-CO"/>
        </w:rPr>
        <w:t>¿Cuáles documentos se encuentran contemplados en dicha normativa?</w:t>
      </w:r>
    </w:p>
    <w:p w14:paraId="031BD61B" w14:textId="77777777" w:rsidR="000124D8" w:rsidRPr="00011155" w:rsidRDefault="000124D8" w:rsidP="000124D8">
      <w:pPr>
        <w:pStyle w:val="Sinespaciado"/>
        <w:ind w:left="720"/>
        <w:jc w:val="both"/>
        <w:rPr>
          <w:lang w:val="es-CO"/>
        </w:rPr>
      </w:pPr>
    </w:p>
    <w:p w14:paraId="50B2D55C" w14:textId="6CF54B0E" w:rsidR="00C81292" w:rsidRPr="00011155" w:rsidRDefault="00C81292" w:rsidP="00011155">
      <w:pPr>
        <w:pStyle w:val="Sinespaciado"/>
        <w:numPr>
          <w:ilvl w:val="0"/>
          <w:numId w:val="9"/>
        </w:numPr>
        <w:jc w:val="both"/>
        <w:rPr>
          <w:lang w:val="es-CO"/>
        </w:rPr>
      </w:pPr>
      <w:r w:rsidRPr="00011155">
        <w:rPr>
          <w:lang w:val="es-CO"/>
        </w:rPr>
        <w:t>Consideramos relevante mencionar que a pesar de la debida comprobación del incumplimiento por un carácter técnico o comercial se debe hacer claridad que no se exime de la obligación.</w:t>
      </w:r>
    </w:p>
    <w:p w14:paraId="194D4DF3" w14:textId="77777777" w:rsidR="00C81292" w:rsidRPr="00011155" w:rsidRDefault="00C81292" w:rsidP="00011155">
      <w:pPr>
        <w:pStyle w:val="Sinespaciado"/>
        <w:ind w:left="720"/>
        <w:jc w:val="both"/>
        <w:rPr>
          <w:lang w:val="es-CO"/>
        </w:rPr>
      </w:pPr>
    </w:p>
    <w:p w14:paraId="4727D6E1" w14:textId="6299CFCA" w:rsidR="00C81292" w:rsidRPr="00011155" w:rsidRDefault="00C81292" w:rsidP="00011155">
      <w:pPr>
        <w:pStyle w:val="Sinespaciado"/>
        <w:numPr>
          <w:ilvl w:val="0"/>
          <w:numId w:val="9"/>
        </w:numPr>
        <w:jc w:val="both"/>
        <w:rPr>
          <w:b/>
          <w:lang w:val="es-CO"/>
        </w:rPr>
      </w:pPr>
      <w:r w:rsidRPr="00011155">
        <w:rPr>
          <w:lang w:val="es-CO"/>
        </w:rPr>
        <w:t>No se debería hacer referencia a los años gravables 2018 y 2019 ya que la factura electrónica como documento equivalente cuando un contribuyente lo implementa, sea obligatorio o voluntario, debe expedir factura electrónica en el 100% de sus ventas.</w:t>
      </w:r>
    </w:p>
    <w:p w14:paraId="75E0ABB3" w14:textId="77777777" w:rsidR="00C81292" w:rsidRPr="00011155" w:rsidRDefault="00C81292" w:rsidP="00011155">
      <w:pPr>
        <w:pStyle w:val="Sinespaciado"/>
        <w:jc w:val="both"/>
        <w:rPr>
          <w:lang w:val="es-CO"/>
        </w:rPr>
      </w:pPr>
    </w:p>
    <w:p w14:paraId="6B07F4DB" w14:textId="6C53E559" w:rsidR="0098024E" w:rsidRPr="00011155" w:rsidRDefault="007E4EA3" w:rsidP="00011155">
      <w:pPr>
        <w:pStyle w:val="Sinespaciado"/>
        <w:jc w:val="both"/>
        <w:rPr>
          <w:lang w:val="es-CO"/>
        </w:rPr>
      </w:pPr>
      <w:r>
        <w:rPr>
          <w:b/>
          <w:lang w:val="es-CO"/>
        </w:rPr>
        <w:t>Cuarto</w:t>
      </w:r>
      <w:r w:rsidR="00C81292" w:rsidRPr="00011155">
        <w:rPr>
          <w:b/>
          <w:lang w:val="es-CO"/>
        </w:rPr>
        <w:t xml:space="preserve"> comentario.</w:t>
      </w:r>
      <w:r w:rsidR="00C81292" w:rsidRPr="00011155">
        <w:rPr>
          <w:lang w:val="es-CO"/>
        </w:rPr>
        <w:t xml:space="preserve"> Al artículo 3: </w:t>
      </w:r>
    </w:p>
    <w:p w14:paraId="38CAD31B" w14:textId="77777777" w:rsidR="0098024E" w:rsidRPr="00011155" w:rsidRDefault="0098024E" w:rsidP="00011155">
      <w:pPr>
        <w:pStyle w:val="Sinespaciado"/>
        <w:jc w:val="both"/>
        <w:rPr>
          <w:lang w:val="es-CO"/>
        </w:rPr>
      </w:pPr>
    </w:p>
    <w:p w14:paraId="4DA314D8" w14:textId="77777777" w:rsidR="0098024E" w:rsidRPr="00011155" w:rsidRDefault="0098024E" w:rsidP="00011155">
      <w:pPr>
        <w:pStyle w:val="Sinespaciado"/>
        <w:numPr>
          <w:ilvl w:val="0"/>
          <w:numId w:val="11"/>
        </w:numPr>
        <w:jc w:val="both"/>
        <w:rPr>
          <w:lang w:val="es-CO"/>
        </w:rPr>
      </w:pPr>
      <w:r w:rsidRPr="00011155">
        <w:rPr>
          <w:b/>
          <w:lang w:val="es-CO"/>
        </w:rPr>
        <w:t xml:space="preserve">Artículo 1.6.1.4.1.1. Definiciones. </w:t>
      </w:r>
      <w:r w:rsidR="00C81292" w:rsidRPr="00011155">
        <w:rPr>
          <w:lang w:val="es-CO"/>
        </w:rPr>
        <w:t>Se recomienda que las definiciones sean las mismas que se encuentran plasmadas en el Decreto 2242 de 2015, diferenciando entre interacción de los sistemas de facturación y la interoperabilidad entre los sistemas de información. Así mismo, consideramos necesario que se estandarice el lenguaje haciendo mención no a Facturador Electrónico sino al Obligado a Facturar Electrónicamente (OFE).</w:t>
      </w:r>
      <w:r w:rsidRPr="00011155">
        <w:rPr>
          <w:lang w:val="es-CO"/>
        </w:rPr>
        <w:t xml:space="preserve"> </w:t>
      </w:r>
    </w:p>
    <w:p w14:paraId="787F2A8A" w14:textId="77777777" w:rsidR="0098024E" w:rsidRPr="00011155" w:rsidRDefault="0098024E" w:rsidP="00011155">
      <w:pPr>
        <w:pStyle w:val="Sinespaciado"/>
        <w:ind w:left="720"/>
        <w:jc w:val="both"/>
        <w:rPr>
          <w:b/>
          <w:lang w:val="es-CO"/>
        </w:rPr>
      </w:pPr>
    </w:p>
    <w:p w14:paraId="628AB0C8" w14:textId="4D7A5DCB" w:rsidR="0098024E" w:rsidRPr="00011155" w:rsidRDefault="00C81292" w:rsidP="00011155">
      <w:pPr>
        <w:pStyle w:val="Sinespaciado"/>
        <w:ind w:left="720"/>
        <w:jc w:val="both"/>
        <w:rPr>
          <w:lang w:val="es-CO"/>
        </w:rPr>
      </w:pPr>
      <w:r w:rsidRPr="00011155">
        <w:rPr>
          <w:lang w:val="es-CO"/>
        </w:rPr>
        <w:t xml:space="preserve">Finalmente, solicitamos se aclare </w:t>
      </w:r>
      <w:r w:rsidR="0098024E" w:rsidRPr="00011155">
        <w:rPr>
          <w:lang w:val="es-CO"/>
        </w:rPr>
        <w:t>si la DIAN actuará como único validador de todas las facturas en el país, pues esto implicaría que se puede generar un cuello de botella en el procesamiento de las facturas para el ecosistema de Factura Electrónica</w:t>
      </w:r>
      <w:r w:rsidR="008C3BDD" w:rsidRPr="00011155">
        <w:rPr>
          <w:lang w:val="es-CO"/>
        </w:rPr>
        <w:t>. De igual manera que se publiquen las reglas para ser Proveedor Autorizado ya que se habla que la DIAN podrá también habilitar a éstos para realizar validación</w:t>
      </w:r>
      <w:r w:rsidR="0098024E" w:rsidRPr="00011155">
        <w:rPr>
          <w:lang w:val="es-CO"/>
        </w:rPr>
        <w:t>.</w:t>
      </w:r>
    </w:p>
    <w:p w14:paraId="490130A1" w14:textId="4DB3641C" w:rsidR="0098024E" w:rsidRPr="00011155" w:rsidRDefault="0098024E" w:rsidP="00011155">
      <w:pPr>
        <w:pStyle w:val="Sinespaciado"/>
        <w:ind w:left="720"/>
        <w:jc w:val="both"/>
        <w:rPr>
          <w:lang w:val="es-CO"/>
        </w:rPr>
      </w:pPr>
    </w:p>
    <w:p w14:paraId="7324D62D" w14:textId="6ABA9641" w:rsidR="0098024E" w:rsidRPr="00011155" w:rsidRDefault="0098024E" w:rsidP="00011155">
      <w:pPr>
        <w:pStyle w:val="Sinespaciado"/>
        <w:numPr>
          <w:ilvl w:val="0"/>
          <w:numId w:val="11"/>
        </w:numPr>
        <w:jc w:val="both"/>
        <w:rPr>
          <w:b/>
          <w:lang w:val="es-CO"/>
        </w:rPr>
      </w:pPr>
      <w:r w:rsidRPr="00011155">
        <w:rPr>
          <w:b/>
          <w:lang w:val="es-CO"/>
        </w:rPr>
        <w:t xml:space="preserve">Artículo 1.6.1.4.1.3. Sujetos no obligados a expedir factura de venta o documento equivalente. </w:t>
      </w:r>
      <w:r w:rsidRPr="00011155">
        <w:rPr>
          <w:lang w:val="es-CO"/>
        </w:rPr>
        <w:t>Al respecto, solicitamos aclaración si quienes se especifican en este artículo no están obligados toda vez lo anterior</w:t>
      </w:r>
      <w:r w:rsidRPr="00011155">
        <w:rPr>
          <w:b/>
          <w:lang w:val="es-CO"/>
        </w:rPr>
        <w:t xml:space="preserve"> </w:t>
      </w:r>
      <w:r w:rsidRPr="00011155">
        <w:rPr>
          <w:lang w:val="es-CO"/>
        </w:rPr>
        <w:t xml:space="preserve">implica reducción </w:t>
      </w:r>
      <w:r w:rsidR="003A47B2">
        <w:rPr>
          <w:lang w:val="es-CO"/>
        </w:rPr>
        <w:t>de los datos para la fiscalización</w:t>
      </w:r>
      <w:r w:rsidRPr="00011155">
        <w:rPr>
          <w:lang w:val="es-CO"/>
        </w:rPr>
        <w:t>.</w:t>
      </w:r>
      <w:bookmarkStart w:id="0" w:name="_GoBack"/>
      <w:bookmarkEnd w:id="0"/>
    </w:p>
    <w:p w14:paraId="2005ED8F" w14:textId="1E7747F4" w:rsidR="0098024E" w:rsidRPr="00011155" w:rsidRDefault="0098024E" w:rsidP="00011155">
      <w:pPr>
        <w:pStyle w:val="Sinespaciado"/>
        <w:jc w:val="both"/>
        <w:rPr>
          <w:b/>
          <w:lang w:val="es-CO"/>
        </w:rPr>
      </w:pPr>
    </w:p>
    <w:p w14:paraId="611011ED" w14:textId="331156FA" w:rsidR="0098024E" w:rsidRPr="00011155" w:rsidRDefault="0098024E" w:rsidP="00011155">
      <w:pPr>
        <w:pStyle w:val="Sinespaciado"/>
        <w:numPr>
          <w:ilvl w:val="0"/>
          <w:numId w:val="11"/>
        </w:numPr>
        <w:jc w:val="both"/>
        <w:rPr>
          <w:b/>
          <w:lang w:val="es-CO"/>
        </w:rPr>
      </w:pPr>
      <w:r w:rsidRPr="00011155">
        <w:rPr>
          <w:b/>
          <w:lang w:val="es-CO"/>
        </w:rPr>
        <w:t xml:space="preserve">Artículo 1.6.1.4.1.6. Documentos equivalentes. </w:t>
      </w:r>
      <w:r w:rsidRPr="00011155">
        <w:rPr>
          <w:lang w:val="es-CO"/>
        </w:rPr>
        <w:t>Recomendamos especificar cómo se debe informar a la DIAN el contenido de los documentos equivalentes ya que no es claro en el proyecto de Decreto.</w:t>
      </w:r>
    </w:p>
    <w:p w14:paraId="110154CC" w14:textId="677D9312" w:rsidR="0098024E" w:rsidRPr="00011155" w:rsidRDefault="0098024E" w:rsidP="00011155">
      <w:pPr>
        <w:pStyle w:val="Prrafodelista"/>
        <w:numPr>
          <w:ilvl w:val="0"/>
          <w:numId w:val="11"/>
        </w:numPr>
        <w:rPr>
          <w:rFonts w:ascii="Arial" w:hAnsi="Arial" w:cs="Arial"/>
          <w:b/>
        </w:rPr>
      </w:pPr>
      <w:r w:rsidRPr="00011155">
        <w:rPr>
          <w:rFonts w:ascii="Arial" w:eastAsia="Arial" w:hAnsi="Arial" w:cs="Arial"/>
          <w:b/>
          <w:lang w:eastAsia="es-ES_tradnl"/>
        </w:rPr>
        <w:lastRenderedPageBreak/>
        <w:t xml:space="preserve">Artículo 1.6.1.4.1.8. Requisitos de la factura electrónica. </w:t>
      </w:r>
      <w:r w:rsidR="00FD1422" w:rsidRPr="00011155">
        <w:rPr>
          <w:rFonts w:ascii="Arial" w:eastAsia="Arial" w:hAnsi="Arial" w:cs="Arial"/>
          <w:lang w:eastAsia="es-ES_tradnl"/>
        </w:rPr>
        <w:t>En cuanto a este artículo, nos permitimos extender las siguientes inquietudes:</w:t>
      </w:r>
    </w:p>
    <w:p w14:paraId="5D7B4F8D" w14:textId="77777777" w:rsidR="00FD1422" w:rsidRPr="00011155" w:rsidRDefault="00FD1422" w:rsidP="00011155">
      <w:pPr>
        <w:pStyle w:val="Prrafodelista"/>
        <w:ind w:left="993"/>
        <w:rPr>
          <w:rFonts w:ascii="Arial" w:hAnsi="Arial" w:cs="Arial"/>
        </w:rPr>
      </w:pPr>
    </w:p>
    <w:p w14:paraId="3858F594" w14:textId="77777777" w:rsidR="00FD1422" w:rsidRPr="00011155" w:rsidRDefault="00FD1422" w:rsidP="00011155">
      <w:pPr>
        <w:pStyle w:val="Prrafodelista"/>
        <w:numPr>
          <w:ilvl w:val="0"/>
          <w:numId w:val="12"/>
        </w:numPr>
        <w:ind w:left="993" w:hanging="284"/>
        <w:rPr>
          <w:rFonts w:ascii="Arial" w:hAnsi="Arial" w:cs="Arial"/>
        </w:rPr>
      </w:pPr>
      <w:r w:rsidRPr="00011155">
        <w:rPr>
          <w:rFonts w:ascii="Arial" w:hAnsi="Arial" w:cs="Arial"/>
        </w:rPr>
        <w:t>¿</w:t>
      </w:r>
      <w:r w:rsidRPr="00011155">
        <w:rPr>
          <w:rFonts w:ascii="Arial" w:eastAsia="Arial" w:hAnsi="Arial" w:cs="Arial"/>
          <w:lang w:eastAsia="es-ES_tradnl"/>
        </w:rPr>
        <w:t>Dicha denominación se debe realizar en el archivo XML, PDF o en ambos? ¿Tiene alguna característica dicha denominación?</w:t>
      </w:r>
    </w:p>
    <w:p w14:paraId="609B08BA" w14:textId="77777777" w:rsidR="00FD1422" w:rsidRPr="00011155" w:rsidRDefault="00FD1422" w:rsidP="00011155">
      <w:pPr>
        <w:pStyle w:val="Prrafodelista"/>
        <w:ind w:left="993"/>
        <w:rPr>
          <w:rFonts w:ascii="Arial" w:hAnsi="Arial" w:cs="Arial"/>
        </w:rPr>
      </w:pPr>
    </w:p>
    <w:p w14:paraId="161419D5" w14:textId="738EDEB0" w:rsidR="00B37E9B" w:rsidRPr="00011155" w:rsidRDefault="00FD1422" w:rsidP="00011155">
      <w:pPr>
        <w:pStyle w:val="Prrafodelista"/>
        <w:numPr>
          <w:ilvl w:val="0"/>
          <w:numId w:val="12"/>
        </w:numPr>
        <w:ind w:left="993" w:hanging="284"/>
        <w:rPr>
          <w:rFonts w:ascii="Arial" w:hAnsi="Arial" w:cs="Arial"/>
        </w:rPr>
      </w:pPr>
      <w:r w:rsidRPr="00011155">
        <w:rPr>
          <w:rFonts w:ascii="Arial" w:hAnsi="Arial" w:cs="Arial"/>
        </w:rPr>
        <w:t xml:space="preserve">La DIAN exige que la información del NIT sea sin digito de verificación, sugerimos especificar este requisito en este decreto.  </w:t>
      </w:r>
      <w:proofErr w:type="spellStart"/>
      <w:r w:rsidRPr="00011155">
        <w:rPr>
          <w:rFonts w:ascii="Arial" w:hAnsi="Arial" w:cs="Arial"/>
        </w:rPr>
        <w:t>Ej</w:t>
      </w:r>
      <w:proofErr w:type="spellEnd"/>
      <w:r w:rsidRPr="00011155">
        <w:rPr>
          <w:rFonts w:ascii="Arial" w:hAnsi="Arial" w:cs="Arial"/>
        </w:rPr>
        <w:t>: Número de identificación tributaria sin digito de verificación</w:t>
      </w:r>
      <w:r w:rsidR="00B37E9B" w:rsidRPr="00011155">
        <w:rPr>
          <w:rFonts w:ascii="Arial" w:hAnsi="Arial" w:cs="Arial"/>
        </w:rPr>
        <w:t>.</w:t>
      </w:r>
    </w:p>
    <w:p w14:paraId="1C2FAED6" w14:textId="77777777" w:rsidR="00B37E9B" w:rsidRPr="00011155" w:rsidRDefault="00B37E9B" w:rsidP="00011155">
      <w:pPr>
        <w:pStyle w:val="Prrafodelista"/>
        <w:rPr>
          <w:rFonts w:ascii="Arial" w:hAnsi="Arial" w:cs="Arial"/>
        </w:rPr>
      </w:pPr>
    </w:p>
    <w:p w14:paraId="54334CF7" w14:textId="77777777" w:rsidR="00B37E9B" w:rsidRPr="00011155" w:rsidRDefault="00FD1422" w:rsidP="00011155">
      <w:pPr>
        <w:pStyle w:val="Prrafodelista"/>
        <w:numPr>
          <w:ilvl w:val="0"/>
          <w:numId w:val="12"/>
        </w:numPr>
        <w:ind w:left="993" w:hanging="284"/>
        <w:rPr>
          <w:rFonts w:ascii="Arial" w:hAnsi="Arial" w:cs="Arial"/>
        </w:rPr>
      </w:pPr>
      <w:r w:rsidRPr="00011155">
        <w:rPr>
          <w:rFonts w:ascii="Arial" w:hAnsi="Arial" w:cs="Arial"/>
        </w:rPr>
        <w:t>¿Dicha fecha debe ser impuesta por el obligado o por la DIAN? ¿Cuál es la forma en la que se va a realizar teniendo en cuenta la sincronicidad del proceso?</w:t>
      </w:r>
    </w:p>
    <w:p w14:paraId="4F1C9105" w14:textId="77777777" w:rsidR="00B37E9B" w:rsidRPr="00011155" w:rsidRDefault="00B37E9B" w:rsidP="00011155">
      <w:pPr>
        <w:pStyle w:val="Prrafodelista"/>
        <w:rPr>
          <w:rFonts w:ascii="Arial" w:hAnsi="Arial" w:cs="Arial"/>
        </w:rPr>
      </w:pPr>
    </w:p>
    <w:p w14:paraId="5388709C" w14:textId="77777777" w:rsidR="00B37E9B" w:rsidRPr="00011155" w:rsidRDefault="00FD1422" w:rsidP="00011155">
      <w:pPr>
        <w:pStyle w:val="Prrafodelista"/>
        <w:numPr>
          <w:ilvl w:val="0"/>
          <w:numId w:val="12"/>
        </w:numPr>
        <w:ind w:left="993" w:hanging="284"/>
        <w:rPr>
          <w:rFonts w:ascii="Arial" w:hAnsi="Arial" w:cs="Arial"/>
        </w:rPr>
      </w:pPr>
      <w:r w:rsidRPr="00011155">
        <w:rPr>
          <w:rFonts w:ascii="Arial" w:hAnsi="Arial" w:cs="Arial"/>
        </w:rPr>
        <w:t>¿Si no existe claridad en la forma de pago a la hora de la generación de la factura qué se debe hacer?</w:t>
      </w:r>
    </w:p>
    <w:p w14:paraId="3454F8AC" w14:textId="77777777" w:rsidR="00B37E9B" w:rsidRPr="00011155" w:rsidRDefault="00B37E9B" w:rsidP="00011155">
      <w:pPr>
        <w:pStyle w:val="Prrafodelista"/>
        <w:rPr>
          <w:rFonts w:ascii="Arial" w:hAnsi="Arial" w:cs="Arial"/>
        </w:rPr>
      </w:pPr>
    </w:p>
    <w:p w14:paraId="2878DBC3" w14:textId="482A3399" w:rsidR="00B37E9B" w:rsidRPr="00011155" w:rsidRDefault="00FD1422" w:rsidP="00011155">
      <w:pPr>
        <w:pStyle w:val="Prrafodelista"/>
        <w:numPr>
          <w:ilvl w:val="0"/>
          <w:numId w:val="12"/>
        </w:numPr>
        <w:ind w:left="993" w:hanging="284"/>
        <w:rPr>
          <w:rFonts w:ascii="Arial" w:hAnsi="Arial" w:cs="Arial"/>
        </w:rPr>
      </w:pPr>
      <w:r w:rsidRPr="00011155">
        <w:rPr>
          <w:rFonts w:ascii="Arial" w:hAnsi="Arial" w:cs="Arial"/>
        </w:rPr>
        <w:t xml:space="preserve">¿Qué sucede si el medio de pago no concuerda con el acordado inicialmente y fue incluido en la factura? ¿Se debe emitir una nota </w:t>
      </w:r>
      <w:r w:rsidR="008C3BDD" w:rsidRPr="00011155">
        <w:rPr>
          <w:rFonts w:ascii="Arial" w:hAnsi="Arial" w:cs="Arial"/>
        </w:rPr>
        <w:t xml:space="preserve">crédito </w:t>
      </w:r>
      <w:r w:rsidRPr="00011155">
        <w:rPr>
          <w:rFonts w:ascii="Arial" w:hAnsi="Arial" w:cs="Arial"/>
        </w:rPr>
        <w:t>y emitir una nueva factura?</w:t>
      </w:r>
    </w:p>
    <w:p w14:paraId="3F938116" w14:textId="77777777" w:rsidR="00B37E9B" w:rsidRPr="00011155" w:rsidRDefault="00B37E9B" w:rsidP="00011155">
      <w:pPr>
        <w:pStyle w:val="Prrafodelista"/>
        <w:rPr>
          <w:rFonts w:ascii="Arial" w:hAnsi="Arial" w:cs="Arial"/>
        </w:rPr>
      </w:pPr>
    </w:p>
    <w:p w14:paraId="4EF794A8" w14:textId="160A5C36" w:rsidR="00B37E9B" w:rsidRPr="00011155" w:rsidRDefault="00B37E9B" w:rsidP="00011155">
      <w:pPr>
        <w:pStyle w:val="Prrafodelista"/>
        <w:numPr>
          <w:ilvl w:val="0"/>
          <w:numId w:val="12"/>
        </w:numPr>
        <w:ind w:left="993" w:hanging="284"/>
        <w:rPr>
          <w:rFonts w:ascii="Arial" w:hAnsi="Arial" w:cs="Arial"/>
        </w:rPr>
      </w:pPr>
      <w:r w:rsidRPr="00011155">
        <w:rPr>
          <w:rFonts w:ascii="Arial" w:hAnsi="Arial" w:cs="Arial"/>
        </w:rPr>
        <w:t>S</w:t>
      </w:r>
      <w:r w:rsidR="00FD1422" w:rsidRPr="00011155">
        <w:rPr>
          <w:rFonts w:ascii="Arial" w:hAnsi="Arial" w:cs="Arial"/>
        </w:rPr>
        <w:t>e debería hacer mención a la Ley 527 de 1999, a los Decreto 333 de 2014 y 2364 de 2012 que establecen lo concerniente a la autenticidad, integridad y firma.</w:t>
      </w:r>
    </w:p>
    <w:p w14:paraId="0B0EC82D" w14:textId="77777777" w:rsidR="00B37E9B" w:rsidRPr="00011155" w:rsidRDefault="00B37E9B" w:rsidP="00011155">
      <w:pPr>
        <w:pStyle w:val="Prrafodelista"/>
        <w:rPr>
          <w:rFonts w:ascii="Arial" w:hAnsi="Arial" w:cs="Arial"/>
        </w:rPr>
      </w:pPr>
    </w:p>
    <w:p w14:paraId="23CCEB0D" w14:textId="4E91EB2A" w:rsidR="00B37E9B" w:rsidRPr="00011155" w:rsidRDefault="00B37E9B" w:rsidP="00011155">
      <w:pPr>
        <w:pStyle w:val="Prrafodelista"/>
        <w:numPr>
          <w:ilvl w:val="0"/>
          <w:numId w:val="12"/>
        </w:numPr>
        <w:ind w:left="993" w:hanging="284"/>
        <w:rPr>
          <w:rFonts w:ascii="Arial" w:hAnsi="Arial" w:cs="Arial"/>
        </w:rPr>
      </w:pPr>
      <w:r w:rsidRPr="00011155">
        <w:rPr>
          <w:rFonts w:ascii="Arial" w:hAnsi="Arial" w:cs="Arial"/>
        </w:rPr>
        <w:t>¿Dichos espectáculos se van a generar siempre por factura electrónica y no por documento equivalente?</w:t>
      </w:r>
    </w:p>
    <w:p w14:paraId="2705DF57" w14:textId="57B80A86" w:rsidR="00B37E9B" w:rsidRPr="00011155" w:rsidRDefault="00B37E9B" w:rsidP="00011155">
      <w:pPr>
        <w:pStyle w:val="Prrafodelista"/>
        <w:ind w:left="993"/>
        <w:rPr>
          <w:rFonts w:ascii="Arial" w:hAnsi="Arial" w:cs="Arial"/>
        </w:rPr>
      </w:pPr>
    </w:p>
    <w:p w14:paraId="0AB91AD1" w14:textId="3CBDD960" w:rsidR="00B37E9B" w:rsidRPr="00011155" w:rsidRDefault="00B37E9B" w:rsidP="00011155">
      <w:pPr>
        <w:pStyle w:val="Prrafodelista"/>
        <w:numPr>
          <w:ilvl w:val="0"/>
          <w:numId w:val="11"/>
        </w:numPr>
        <w:rPr>
          <w:rFonts w:ascii="Arial" w:hAnsi="Arial" w:cs="Arial"/>
        </w:rPr>
      </w:pPr>
      <w:r w:rsidRPr="00011155">
        <w:rPr>
          <w:rFonts w:ascii="Arial" w:eastAsia="Arial" w:hAnsi="Arial" w:cs="Arial"/>
          <w:b/>
          <w:lang w:eastAsia="es-ES_tradnl"/>
        </w:rPr>
        <w:t xml:space="preserve">Artículo 1.6.1.4.1.14. Sujetos que deben expedir factura electrónica. </w:t>
      </w:r>
      <w:r w:rsidRPr="00011155">
        <w:rPr>
          <w:rFonts w:ascii="Arial" w:eastAsia="Arial" w:hAnsi="Arial" w:cs="Arial"/>
          <w:lang w:eastAsia="es-ES_tradnl"/>
        </w:rPr>
        <w:t>Solicitamos</w:t>
      </w:r>
      <w:r w:rsidRPr="00011155">
        <w:rPr>
          <w:rFonts w:ascii="Arial" w:eastAsia="Arial" w:hAnsi="Arial" w:cs="Arial"/>
          <w:b/>
          <w:lang w:eastAsia="es-ES_tradnl"/>
        </w:rPr>
        <w:t xml:space="preserve"> </w:t>
      </w:r>
      <w:r w:rsidRPr="00011155">
        <w:rPr>
          <w:rFonts w:ascii="Arial" w:eastAsia="Arial" w:hAnsi="Arial" w:cs="Arial"/>
          <w:lang w:eastAsia="es-ES_tradnl"/>
        </w:rPr>
        <w:t>gentilmente nos compartan con antelación el cronograma previsto para el año 2019.</w:t>
      </w:r>
    </w:p>
    <w:p w14:paraId="5A491DDA" w14:textId="4691EC02" w:rsidR="00B37E9B" w:rsidRPr="00011155" w:rsidRDefault="00B37E9B" w:rsidP="00011155">
      <w:pPr>
        <w:spacing w:line="240" w:lineRule="auto"/>
        <w:jc w:val="both"/>
        <w:rPr>
          <w:lang w:val="es-CO"/>
        </w:rPr>
      </w:pPr>
    </w:p>
    <w:p w14:paraId="49C2C979" w14:textId="77777777" w:rsidR="00B37E9B" w:rsidRPr="00011155" w:rsidRDefault="00B37E9B" w:rsidP="00011155">
      <w:pPr>
        <w:pStyle w:val="Prrafodelista"/>
        <w:numPr>
          <w:ilvl w:val="0"/>
          <w:numId w:val="11"/>
        </w:numPr>
        <w:rPr>
          <w:rFonts w:ascii="Arial" w:eastAsia="Arial" w:hAnsi="Arial" w:cs="Arial"/>
          <w:b/>
          <w:lang w:eastAsia="es-ES_tradnl"/>
        </w:rPr>
      </w:pPr>
      <w:r w:rsidRPr="00011155">
        <w:rPr>
          <w:rFonts w:ascii="Arial" w:eastAsia="Arial" w:hAnsi="Arial" w:cs="Arial"/>
          <w:b/>
          <w:lang w:eastAsia="es-ES_tradnl"/>
        </w:rPr>
        <w:t xml:space="preserve">Artículo 1.6.1.4.1.17. Facturación en mandato. </w:t>
      </w:r>
      <w:r w:rsidRPr="00011155">
        <w:rPr>
          <w:rFonts w:ascii="Arial" w:eastAsia="Arial" w:hAnsi="Arial" w:cs="Arial"/>
          <w:lang w:eastAsia="es-ES_tradnl"/>
        </w:rPr>
        <w:t>Se</w:t>
      </w:r>
      <w:r w:rsidRPr="00011155">
        <w:rPr>
          <w:rFonts w:ascii="Arial" w:eastAsia="Arial" w:hAnsi="Arial" w:cs="Arial"/>
          <w:b/>
          <w:lang w:eastAsia="es-ES_tradnl"/>
        </w:rPr>
        <w:t xml:space="preserve"> </w:t>
      </w:r>
      <w:r w:rsidRPr="00011155">
        <w:rPr>
          <w:rFonts w:ascii="Arial" w:hAnsi="Arial" w:cs="Arial"/>
        </w:rPr>
        <w:t>debería ajustar incluyéndolo dispuesto en el Decreto 2242 de 2015 para efectos del mandato.</w:t>
      </w:r>
    </w:p>
    <w:p w14:paraId="50B7F9E7" w14:textId="77777777" w:rsidR="00B37E9B" w:rsidRPr="00011155" w:rsidRDefault="00B37E9B" w:rsidP="00011155">
      <w:pPr>
        <w:pStyle w:val="Prrafodelista"/>
        <w:rPr>
          <w:rFonts w:ascii="Arial" w:eastAsia="Arial" w:hAnsi="Arial" w:cs="Arial"/>
          <w:b/>
          <w:lang w:eastAsia="es-ES_tradnl"/>
        </w:rPr>
      </w:pPr>
    </w:p>
    <w:p w14:paraId="4A1EB4D6" w14:textId="35CB2965" w:rsidR="00B37E9B" w:rsidRPr="00011155" w:rsidRDefault="00B37E9B" w:rsidP="00011155">
      <w:pPr>
        <w:pStyle w:val="Prrafodelista"/>
        <w:numPr>
          <w:ilvl w:val="0"/>
          <w:numId w:val="11"/>
        </w:numPr>
        <w:rPr>
          <w:rFonts w:ascii="Arial" w:eastAsia="Arial" w:hAnsi="Arial" w:cs="Arial"/>
          <w:b/>
          <w:lang w:eastAsia="es-ES_tradnl"/>
        </w:rPr>
      </w:pPr>
      <w:r w:rsidRPr="00011155">
        <w:rPr>
          <w:rFonts w:ascii="Arial" w:eastAsia="Arial" w:hAnsi="Arial" w:cs="Arial"/>
          <w:b/>
          <w:lang w:eastAsia="es-ES_tradnl"/>
        </w:rPr>
        <w:t xml:space="preserve">Artículo 1.6.1.4.1.19. Facultades de la Unidad Administrativa Especial Dirección de Impuestos y Aduanas Nacionales –DIAN. </w:t>
      </w:r>
      <w:r w:rsidRPr="00011155">
        <w:rPr>
          <w:rFonts w:ascii="Arial" w:eastAsia="Arial" w:hAnsi="Arial" w:cs="Arial"/>
          <w:lang w:eastAsia="es-ES_tradnl"/>
        </w:rPr>
        <w:t>Se sugiere que se limite o especifique el acceso al software que la DIAN podría tener y las consideraciones de confidencialidad al acceder al código fuente ya que este cuenta con ingeniería de los desarrolladores de software como propietarios del código fuente.</w:t>
      </w:r>
    </w:p>
    <w:p w14:paraId="514E6351" w14:textId="1C35D93A" w:rsidR="00B37E9B" w:rsidRPr="00011155" w:rsidRDefault="00B37E9B" w:rsidP="00011155">
      <w:pPr>
        <w:pStyle w:val="Prrafodelista"/>
        <w:rPr>
          <w:rFonts w:ascii="Arial" w:eastAsia="Arial" w:hAnsi="Arial" w:cs="Arial"/>
          <w:b/>
          <w:lang w:eastAsia="es-ES_tradnl"/>
        </w:rPr>
      </w:pPr>
    </w:p>
    <w:p w14:paraId="19873393" w14:textId="77777777" w:rsidR="00B37E9B" w:rsidRPr="00011155" w:rsidRDefault="00B37E9B" w:rsidP="00011155">
      <w:pPr>
        <w:autoSpaceDE w:val="0"/>
        <w:autoSpaceDN w:val="0"/>
        <w:adjustRightInd w:val="0"/>
        <w:spacing w:line="240" w:lineRule="auto"/>
        <w:ind w:left="720"/>
        <w:contextualSpacing/>
        <w:jc w:val="both"/>
        <w:rPr>
          <w:color w:val="000000"/>
          <w:lang w:val="es-CO"/>
        </w:rPr>
      </w:pPr>
      <w:r w:rsidRPr="00011155">
        <w:rPr>
          <w:color w:val="000000"/>
          <w:lang w:val="es-CO"/>
        </w:rPr>
        <w:t>Adicional, nos permitimos remitir las siguientes inquietudes de nuestros agremiados respecto a este artículo: ¿Se pausará la operación de la FE? ¿Vendrán también cambios técnicos para los Proveedores Tecnológicos y de responsabilidad? ¿Dentro de esta restructuración está la contingencia para la operación de la DIAN se ha contemplado que sea un grupo selecto de Proveedores Tecnológicos?</w:t>
      </w:r>
    </w:p>
    <w:p w14:paraId="094FAE3B" w14:textId="77777777" w:rsidR="00B37E9B" w:rsidRPr="00011155" w:rsidRDefault="00B37E9B" w:rsidP="00011155">
      <w:pPr>
        <w:autoSpaceDE w:val="0"/>
        <w:autoSpaceDN w:val="0"/>
        <w:adjustRightInd w:val="0"/>
        <w:spacing w:line="240" w:lineRule="auto"/>
        <w:ind w:left="720"/>
        <w:contextualSpacing/>
        <w:jc w:val="both"/>
        <w:rPr>
          <w:b/>
          <w:bCs/>
          <w:i/>
          <w:iCs/>
          <w:lang w:val="es-CO"/>
        </w:rPr>
      </w:pPr>
    </w:p>
    <w:p w14:paraId="67649AF5" w14:textId="41C777A4" w:rsidR="00B37E9B" w:rsidRPr="00011155" w:rsidRDefault="00B37E9B" w:rsidP="00011155">
      <w:pPr>
        <w:pStyle w:val="Prrafodelista"/>
        <w:numPr>
          <w:ilvl w:val="0"/>
          <w:numId w:val="11"/>
        </w:numPr>
        <w:adjustRightInd w:val="0"/>
        <w:rPr>
          <w:rFonts w:ascii="Arial" w:eastAsia="Arial" w:hAnsi="Arial" w:cs="Arial"/>
          <w:b/>
          <w:lang w:eastAsia="es-ES_tradnl"/>
        </w:rPr>
      </w:pPr>
      <w:r w:rsidRPr="00011155">
        <w:rPr>
          <w:rFonts w:ascii="Arial" w:eastAsia="Arial" w:hAnsi="Arial" w:cs="Arial"/>
          <w:b/>
          <w:lang w:eastAsia="es-ES_tradnl"/>
        </w:rPr>
        <w:t xml:space="preserve">Artículo 1.6.1.4.1.25. Expedición de la factura electrónica. </w:t>
      </w:r>
      <w:r w:rsidRPr="00011155">
        <w:rPr>
          <w:rFonts w:ascii="Arial" w:eastAsia="Arial" w:hAnsi="Arial" w:cs="Arial"/>
          <w:lang w:eastAsia="es-ES_tradnl"/>
        </w:rPr>
        <w:t>¿Únicamente será la DIAN la entidad encargada de validar las facturas electrónicas?</w:t>
      </w:r>
      <w:r w:rsidRPr="00011155">
        <w:rPr>
          <w:rFonts w:ascii="Arial" w:hAnsi="Arial" w:cs="Arial"/>
          <w:b/>
          <w:bCs/>
          <w:i/>
          <w:iCs/>
        </w:rPr>
        <w:t xml:space="preserve"> </w:t>
      </w:r>
      <w:r w:rsidR="008C3BDD" w:rsidRPr="00011155">
        <w:rPr>
          <w:rFonts w:ascii="Arial" w:hAnsi="Arial" w:cs="Arial"/>
          <w:b/>
          <w:bCs/>
          <w:i/>
          <w:iCs/>
        </w:rPr>
        <w:t>O ¿Se habilitarán los proveedores autorizados para el apoyo a la DIAN en este tema?</w:t>
      </w:r>
    </w:p>
    <w:p w14:paraId="357359A5" w14:textId="77777777" w:rsidR="00B37E9B" w:rsidRPr="00011155" w:rsidRDefault="00B37E9B" w:rsidP="00011155">
      <w:pPr>
        <w:pStyle w:val="Prrafodelista"/>
        <w:adjustRightInd w:val="0"/>
        <w:rPr>
          <w:rFonts w:ascii="Arial" w:eastAsia="Arial" w:hAnsi="Arial" w:cs="Arial"/>
          <w:b/>
          <w:lang w:eastAsia="es-ES_tradnl"/>
        </w:rPr>
      </w:pPr>
    </w:p>
    <w:p w14:paraId="29B17D75" w14:textId="3680DEAF" w:rsidR="00B37E9B" w:rsidRPr="00011155" w:rsidRDefault="00B37E9B" w:rsidP="00011155">
      <w:pPr>
        <w:pStyle w:val="Prrafodelista"/>
        <w:numPr>
          <w:ilvl w:val="0"/>
          <w:numId w:val="11"/>
        </w:numPr>
        <w:adjustRightInd w:val="0"/>
        <w:rPr>
          <w:rFonts w:ascii="Arial" w:hAnsi="Arial" w:cs="Arial"/>
          <w:color w:val="000000"/>
        </w:rPr>
      </w:pPr>
      <w:r w:rsidRPr="00011155">
        <w:rPr>
          <w:rFonts w:ascii="Arial" w:eastAsia="Arial" w:hAnsi="Arial" w:cs="Arial"/>
          <w:b/>
          <w:lang w:eastAsia="es-ES_tradnl"/>
        </w:rPr>
        <w:t xml:space="preserve">Artículo 1.6.1.4.1.26. Notas crédito y notas débito para la factura electrónica. </w:t>
      </w:r>
      <w:r w:rsidR="00677153" w:rsidRPr="00011155">
        <w:rPr>
          <w:rFonts w:ascii="Arial" w:eastAsia="Arial" w:hAnsi="Arial" w:cs="Arial"/>
          <w:lang w:eastAsia="es-ES_tradnl"/>
        </w:rPr>
        <w:t xml:space="preserve">Consideramos que </w:t>
      </w:r>
      <w:r w:rsidRPr="00011155">
        <w:rPr>
          <w:rFonts w:ascii="Arial" w:eastAsia="Arial" w:hAnsi="Arial" w:cs="Arial"/>
          <w:lang w:eastAsia="es-ES_tradnl"/>
        </w:rPr>
        <w:t>no se debería restringir la entrega de la</w:t>
      </w:r>
      <w:r w:rsidR="00677153" w:rsidRPr="00011155">
        <w:rPr>
          <w:rFonts w:ascii="Arial" w:eastAsia="Arial" w:hAnsi="Arial" w:cs="Arial"/>
          <w:lang w:eastAsia="es-ES_tradnl"/>
        </w:rPr>
        <w:t>s</w:t>
      </w:r>
      <w:r w:rsidRPr="00011155">
        <w:rPr>
          <w:rFonts w:ascii="Arial" w:eastAsia="Arial" w:hAnsi="Arial" w:cs="Arial"/>
          <w:lang w:eastAsia="es-ES_tradnl"/>
        </w:rPr>
        <w:t xml:space="preserve"> notas crédito o débito </w:t>
      </w:r>
      <w:r w:rsidR="00677153" w:rsidRPr="00011155">
        <w:rPr>
          <w:rFonts w:ascii="Arial" w:eastAsia="Arial" w:hAnsi="Arial" w:cs="Arial"/>
          <w:lang w:eastAsia="es-ES_tradnl"/>
        </w:rPr>
        <w:t xml:space="preserve">y se puedan realizar </w:t>
      </w:r>
      <w:r w:rsidRPr="00011155">
        <w:rPr>
          <w:rFonts w:ascii="Arial" w:eastAsia="Arial" w:hAnsi="Arial" w:cs="Arial"/>
          <w:lang w:eastAsia="es-ES_tradnl"/>
        </w:rPr>
        <w:t xml:space="preserve">en el mismo medio que se entregó la factura electrónica </w:t>
      </w:r>
      <w:r w:rsidR="00677153" w:rsidRPr="00011155">
        <w:rPr>
          <w:rFonts w:ascii="Arial" w:eastAsia="Arial" w:hAnsi="Arial" w:cs="Arial"/>
          <w:lang w:eastAsia="es-ES_tradnl"/>
        </w:rPr>
        <w:t xml:space="preserve">con </w:t>
      </w:r>
      <w:r w:rsidRPr="00011155">
        <w:rPr>
          <w:rFonts w:ascii="Arial" w:eastAsia="Arial" w:hAnsi="Arial" w:cs="Arial"/>
          <w:lang w:eastAsia="es-ES_tradnl"/>
        </w:rPr>
        <w:t>la posibilidad de entregarla digital, impresa o electrónica</w:t>
      </w:r>
      <w:r w:rsidR="00677153" w:rsidRPr="00011155">
        <w:rPr>
          <w:rFonts w:ascii="Arial" w:eastAsia="Arial" w:hAnsi="Arial" w:cs="Arial"/>
          <w:lang w:eastAsia="es-ES_tradnl"/>
        </w:rPr>
        <w:t>.</w:t>
      </w:r>
    </w:p>
    <w:p w14:paraId="08EBAEB4" w14:textId="556C392E" w:rsidR="00677153" w:rsidRPr="00011155" w:rsidRDefault="00677153" w:rsidP="00011155">
      <w:pPr>
        <w:autoSpaceDE w:val="0"/>
        <w:autoSpaceDN w:val="0"/>
        <w:adjustRightInd w:val="0"/>
        <w:spacing w:line="240" w:lineRule="auto"/>
        <w:ind w:left="720"/>
        <w:contextualSpacing/>
        <w:jc w:val="both"/>
        <w:rPr>
          <w:color w:val="000000"/>
          <w:lang w:val="es-CO"/>
        </w:rPr>
      </w:pPr>
    </w:p>
    <w:p w14:paraId="04243B9C" w14:textId="77777777" w:rsidR="00C56280" w:rsidRPr="00011155" w:rsidRDefault="00677153" w:rsidP="00011155">
      <w:pPr>
        <w:pStyle w:val="Prrafodelista"/>
        <w:numPr>
          <w:ilvl w:val="0"/>
          <w:numId w:val="11"/>
        </w:numPr>
        <w:adjustRightInd w:val="0"/>
        <w:rPr>
          <w:rFonts w:ascii="Arial" w:hAnsi="Arial" w:cs="Arial"/>
        </w:rPr>
      </w:pPr>
      <w:r w:rsidRPr="00011155">
        <w:rPr>
          <w:rFonts w:ascii="Arial" w:eastAsia="Arial" w:hAnsi="Arial" w:cs="Arial"/>
          <w:b/>
          <w:lang w:eastAsia="es-ES_tradnl"/>
        </w:rPr>
        <w:lastRenderedPageBreak/>
        <w:t xml:space="preserve">Artículo 1.6.1.4.1.28. Proveedor tecnológico. </w:t>
      </w:r>
      <w:r w:rsidRPr="00011155">
        <w:rPr>
          <w:rFonts w:ascii="Arial" w:eastAsia="Arial" w:hAnsi="Arial" w:cs="Arial"/>
          <w:lang w:eastAsia="es-ES_tradnl"/>
        </w:rPr>
        <w:t xml:space="preserve">Respecto a este artículo, es necesario precisar si los Proveedores Tecnológicos con autorización vigente deberán completar con los requisitos aquí exigidos, así como indicar qué sucede con aquellas empresas que usan </w:t>
      </w:r>
      <w:r w:rsidR="00C56280" w:rsidRPr="00011155">
        <w:rPr>
          <w:rFonts w:ascii="Arial" w:eastAsia="Arial" w:hAnsi="Arial" w:cs="Arial"/>
          <w:lang w:eastAsia="es-ES_tradnl"/>
        </w:rPr>
        <w:t xml:space="preserve">soluciones en la </w:t>
      </w:r>
      <w:r w:rsidRPr="00011155">
        <w:rPr>
          <w:rFonts w:ascii="Arial" w:eastAsia="Arial" w:hAnsi="Arial" w:cs="Arial"/>
          <w:lang w:eastAsia="es-ES_tradnl"/>
        </w:rPr>
        <w:t xml:space="preserve">nube o centro de datos en otros países </w:t>
      </w:r>
      <w:r w:rsidRPr="00011155">
        <w:rPr>
          <w:rFonts w:ascii="Arial" w:eastAsia="Arial" w:hAnsi="Arial" w:cs="Arial"/>
          <w:color w:val="000000"/>
          <w:lang w:eastAsia="es-ES_tradnl"/>
        </w:rPr>
        <w:t xml:space="preserve">pues los requisitos aquí exigidos </w:t>
      </w:r>
      <w:r w:rsidRPr="00011155">
        <w:rPr>
          <w:rFonts w:ascii="Arial" w:hAnsi="Arial" w:cs="Arial"/>
          <w:color w:val="000000"/>
        </w:rPr>
        <w:t xml:space="preserve">obligarían a duplicar costos de equipos y centros de datos. </w:t>
      </w:r>
      <w:r w:rsidR="00C56280" w:rsidRPr="00011155">
        <w:rPr>
          <w:rFonts w:ascii="Arial" w:hAnsi="Arial" w:cs="Arial"/>
          <w:color w:val="000000"/>
        </w:rPr>
        <w:t xml:space="preserve">Así mismo, es importante </w:t>
      </w:r>
      <w:r w:rsidR="00C56280" w:rsidRPr="00011155">
        <w:rPr>
          <w:rFonts w:ascii="Arial" w:eastAsia="Arial" w:hAnsi="Arial" w:cs="Arial"/>
          <w:lang w:eastAsia="es-ES_tradnl"/>
        </w:rPr>
        <w:t>aclarar si se los estándares a los que se hace referencia son los de ISO 270001.</w:t>
      </w:r>
    </w:p>
    <w:p w14:paraId="7D0F8FBB" w14:textId="77777777" w:rsidR="00C56280" w:rsidRPr="00011155" w:rsidRDefault="00C56280" w:rsidP="00011155">
      <w:pPr>
        <w:pStyle w:val="Prrafodelista"/>
        <w:rPr>
          <w:rFonts w:ascii="Arial" w:hAnsi="Arial" w:cs="Arial"/>
          <w:b/>
        </w:rPr>
      </w:pPr>
    </w:p>
    <w:p w14:paraId="7307E07F" w14:textId="3942AFB0" w:rsidR="00C56280" w:rsidRPr="00011155" w:rsidRDefault="00C56280" w:rsidP="00011155">
      <w:pPr>
        <w:pStyle w:val="Prrafodelista"/>
        <w:numPr>
          <w:ilvl w:val="0"/>
          <w:numId w:val="11"/>
        </w:numPr>
        <w:adjustRightInd w:val="0"/>
        <w:rPr>
          <w:rFonts w:ascii="Arial" w:hAnsi="Arial" w:cs="Arial"/>
        </w:rPr>
      </w:pPr>
      <w:r w:rsidRPr="00011155">
        <w:rPr>
          <w:rFonts w:ascii="Arial" w:eastAsia="Arial" w:hAnsi="Arial" w:cs="Arial"/>
          <w:b/>
          <w:lang w:eastAsia="es-ES_tradnl"/>
        </w:rPr>
        <w:t xml:space="preserve">Artículo 1.6.1.4.1.29. Validación de la factura electrónica, las notas crédito y/o notas débito. </w:t>
      </w:r>
      <w:r w:rsidRPr="00011155">
        <w:rPr>
          <w:rFonts w:ascii="Arial" w:eastAsia="Arial" w:hAnsi="Arial" w:cs="Arial"/>
          <w:lang w:eastAsia="es-ES_tradnl"/>
        </w:rPr>
        <w:t xml:space="preserve">Dado el caso que la DIAN no pudiese validar todas las facturas electrónicas, ¿Cuáles son los planes de contingencia o continuidad para las validaciones?, ¿la DIAN dará un tiempo máximo de respuesta tanto para operación normal como para contingencia? Finalmente se precisa que </w:t>
      </w:r>
      <w:r w:rsidR="000566ED" w:rsidRPr="00011155">
        <w:rPr>
          <w:rFonts w:ascii="Arial" w:eastAsia="Arial" w:hAnsi="Arial" w:cs="Arial"/>
          <w:lang w:eastAsia="es-ES_tradnl"/>
        </w:rPr>
        <w:t xml:space="preserve">este decreto </w:t>
      </w:r>
      <w:r w:rsidRPr="00011155">
        <w:rPr>
          <w:rFonts w:ascii="Arial" w:eastAsia="Arial" w:hAnsi="Arial" w:cs="Arial"/>
          <w:lang w:eastAsia="es-ES_tradnl"/>
        </w:rPr>
        <w:t>No es compatible con el Modelo PAC</w:t>
      </w:r>
      <w:r w:rsidR="000566ED" w:rsidRPr="00011155">
        <w:rPr>
          <w:rFonts w:ascii="Arial" w:eastAsia="Arial" w:hAnsi="Arial" w:cs="Arial"/>
          <w:lang w:eastAsia="es-ES_tradnl"/>
        </w:rPr>
        <w:t>, cuya figura aparece en el Estatuto Tributario</w:t>
      </w:r>
      <w:r w:rsidRPr="00011155">
        <w:rPr>
          <w:rFonts w:ascii="Arial" w:eastAsia="Arial" w:hAnsi="Arial" w:cs="Arial"/>
          <w:lang w:eastAsia="es-ES_tradnl"/>
        </w:rPr>
        <w:t>.</w:t>
      </w:r>
      <w:r w:rsidRPr="00011155">
        <w:rPr>
          <w:rFonts w:ascii="Arial" w:hAnsi="Arial" w:cs="Arial"/>
        </w:rPr>
        <w:t xml:space="preserve"> </w:t>
      </w:r>
    </w:p>
    <w:p w14:paraId="103C6C50" w14:textId="77777777" w:rsidR="00C56280" w:rsidRPr="00011155" w:rsidRDefault="00C56280" w:rsidP="00011155">
      <w:pPr>
        <w:pStyle w:val="Prrafodelista"/>
        <w:rPr>
          <w:rFonts w:ascii="Arial" w:hAnsi="Arial" w:cs="Arial"/>
          <w:b/>
          <w:bCs/>
          <w:i/>
          <w:iCs/>
        </w:rPr>
      </w:pPr>
    </w:p>
    <w:p w14:paraId="4F66A75B" w14:textId="149FB193" w:rsidR="00C56280" w:rsidRPr="00011155" w:rsidRDefault="00C56280" w:rsidP="00011155">
      <w:pPr>
        <w:pStyle w:val="Prrafodelista"/>
        <w:numPr>
          <w:ilvl w:val="0"/>
          <w:numId w:val="11"/>
        </w:numPr>
        <w:adjustRightInd w:val="0"/>
        <w:rPr>
          <w:rFonts w:ascii="Arial" w:eastAsia="Arial" w:hAnsi="Arial" w:cs="Arial"/>
          <w:b/>
          <w:lang w:eastAsia="es-ES_tradnl"/>
        </w:rPr>
      </w:pPr>
      <w:r w:rsidRPr="00011155">
        <w:rPr>
          <w:rFonts w:ascii="Arial" w:eastAsia="Arial" w:hAnsi="Arial" w:cs="Arial"/>
          <w:b/>
          <w:lang w:eastAsia="es-ES_tradnl"/>
        </w:rPr>
        <w:t xml:space="preserve">Artículo 1.6.1.4.1.30. Servicios gratuitos para la generación, validación y transmisión a la Unidad Administrativa Especial Dirección de Impuestos y Aduanas Nacionales –DIAN de la factura electrónica, las notas crédito y/o débito. </w:t>
      </w:r>
      <w:r w:rsidRPr="00011155">
        <w:rPr>
          <w:rFonts w:ascii="Arial" w:eastAsia="Arial" w:hAnsi="Arial" w:cs="Arial"/>
          <w:lang w:eastAsia="es-ES_tradnl"/>
        </w:rPr>
        <w:t>La redacción del artículo no es precisa para entender si los Proveedores Tecnológicos están incluidos</w:t>
      </w:r>
      <w:r w:rsidR="000566ED" w:rsidRPr="00011155">
        <w:rPr>
          <w:rFonts w:ascii="Arial" w:eastAsia="Arial" w:hAnsi="Arial" w:cs="Arial"/>
          <w:lang w:eastAsia="es-ES_tradnl"/>
        </w:rPr>
        <w:t xml:space="preserve"> o no</w:t>
      </w:r>
      <w:r w:rsidRPr="00011155">
        <w:rPr>
          <w:rFonts w:ascii="Arial" w:eastAsia="Arial" w:hAnsi="Arial" w:cs="Arial"/>
          <w:lang w:eastAsia="es-ES_tradnl"/>
        </w:rPr>
        <w:t>.</w:t>
      </w:r>
    </w:p>
    <w:p w14:paraId="302F3FCD" w14:textId="77777777" w:rsidR="00C56280" w:rsidRPr="00011155" w:rsidRDefault="00C56280" w:rsidP="00011155">
      <w:pPr>
        <w:pStyle w:val="Prrafodelista"/>
        <w:rPr>
          <w:rFonts w:ascii="Arial" w:hAnsi="Arial" w:cs="Arial"/>
          <w:b/>
          <w:bCs/>
          <w:i/>
          <w:iCs/>
        </w:rPr>
      </w:pPr>
    </w:p>
    <w:p w14:paraId="53903E0D" w14:textId="77777777" w:rsidR="006E0B97" w:rsidRPr="00011155" w:rsidRDefault="00C56280" w:rsidP="00011155">
      <w:pPr>
        <w:pStyle w:val="Prrafodelista"/>
        <w:numPr>
          <w:ilvl w:val="0"/>
          <w:numId w:val="11"/>
        </w:numPr>
        <w:adjustRightInd w:val="0"/>
        <w:rPr>
          <w:rFonts w:ascii="Arial" w:eastAsia="Arial" w:hAnsi="Arial" w:cs="Arial"/>
          <w:b/>
          <w:lang w:eastAsia="es-ES_tradnl"/>
        </w:rPr>
      </w:pPr>
      <w:r w:rsidRPr="00011155">
        <w:rPr>
          <w:rFonts w:ascii="Arial" w:eastAsia="Arial" w:hAnsi="Arial" w:cs="Arial"/>
          <w:b/>
          <w:lang w:eastAsia="es-ES_tradnl"/>
        </w:rPr>
        <w:t xml:space="preserve">Artículo 1.6.1.4.1.32. Acuse de recibo de la factura electrónica. </w:t>
      </w:r>
      <w:r w:rsidR="006E0B97" w:rsidRPr="00011155">
        <w:rPr>
          <w:rFonts w:ascii="Arial" w:eastAsia="Arial" w:hAnsi="Arial" w:cs="Arial"/>
          <w:lang w:eastAsia="es-ES_tradnl"/>
        </w:rPr>
        <w:t>Es necesario determinar si el recibo es válido y si éste debe ir firmado.</w:t>
      </w:r>
    </w:p>
    <w:p w14:paraId="5FA963DE" w14:textId="77777777" w:rsidR="006E0B97" w:rsidRPr="00011155" w:rsidRDefault="006E0B97" w:rsidP="00011155">
      <w:pPr>
        <w:pStyle w:val="Prrafodelista"/>
        <w:rPr>
          <w:rFonts w:ascii="Arial" w:hAnsi="Arial" w:cs="Arial"/>
          <w:b/>
          <w:bCs/>
          <w:i/>
          <w:iCs/>
        </w:rPr>
      </w:pPr>
    </w:p>
    <w:p w14:paraId="0F3E996A" w14:textId="26803F1D" w:rsidR="00201FD8" w:rsidRPr="00011155" w:rsidRDefault="006E0B97" w:rsidP="00011155">
      <w:pPr>
        <w:pStyle w:val="Prrafodelista"/>
        <w:numPr>
          <w:ilvl w:val="0"/>
          <w:numId w:val="11"/>
        </w:numPr>
        <w:adjustRightInd w:val="0"/>
        <w:rPr>
          <w:rFonts w:ascii="Arial" w:eastAsia="Arial" w:hAnsi="Arial" w:cs="Arial"/>
          <w:lang w:eastAsia="es-ES_tradnl"/>
        </w:rPr>
      </w:pPr>
      <w:r w:rsidRPr="00011155">
        <w:rPr>
          <w:rFonts w:ascii="Arial" w:eastAsia="Arial" w:hAnsi="Arial" w:cs="Arial"/>
          <w:b/>
          <w:lang w:eastAsia="es-ES_tradnl"/>
        </w:rPr>
        <w:t>Artículo 1.6.1.4.1.34. Medidas en caso de interrupción o impedimento al momento de expedir la factura electrónica.</w:t>
      </w:r>
      <w:r w:rsidR="00201FD8" w:rsidRPr="00011155">
        <w:rPr>
          <w:rFonts w:ascii="Arial" w:eastAsia="Arial" w:hAnsi="Arial" w:cs="Arial"/>
          <w:b/>
          <w:lang w:eastAsia="es-ES_tradnl"/>
        </w:rPr>
        <w:t xml:space="preserve"> </w:t>
      </w:r>
      <w:r w:rsidR="00201FD8" w:rsidRPr="00011155">
        <w:rPr>
          <w:rFonts w:ascii="Arial" w:eastAsia="Arial" w:hAnsi="Arial" w:cs="Arial"/>
          <w:lang w:eastAsia="es-ES_tradnl"/>
        </w:rPr>
        <w:t>Se solicita alinear el artículo 1.6.1.4.1.15 y este art</w:t>
      </w:r>
      <w:r w:rsidR="000566ED" w:rsidRPr="00011155">
        <w:rPr>
          <w:rFonts w:ascii="Arial" w:eastAsia="Arial" w:hAnsi="Arial" w:cs="Arial"/>
          <w:lang w:eastAsia="es-ES_tradnl"/>
        </w:rPr>
        <w:t>í</w:t>
      </w:r>
      <w:r w:rsidR="00201FD8" w:rsidRPr="00011155">
        <w:rPr>
          <w:rFonts w:ascii="Arial" w:eastAsia="Arial" w:hAnsi="Arial" w:cs="Arial"/>
          <w:lang w:eastAsia="es-ES_tradnl"/>
        </w:rPr>
        <w:t xml:space="preserve">culo ya que en el primero se indica que el medio "deberán expedir factura de talonario o papel únicamente cuando se presente interrupción o impedimento en la expedición de la factura electrónica en los casos que indique la Unidad Administrativa Especial Dirección de Impuestos y Aduanas Nacionales –DIAN." y en este artículo se está dejando la potestad a la DIAN establezca otras medidas. Es claro que la llamada "factura contingencia. especificada por la DIAN en las resoluciones 19 y 55 no es un procedimiento que le permita a una empresa operar en contingencia. Se sugiere implementar un reporte en XML para informar las operaciones que se realizaron en contingencia. </w:t>
      </w:r>
    </w:p>
    <w:p w14:paraId="6F903CE4" w14:textId="77777777" w:rsidR="00201FD8" w:rsidRPr="00011155" w:rsidRDefault="00201FD8" w:rsidP="00011155">
      <w:pPr>
        <w:pStyle w:val="Prrafodelista"/>
        <w:rPr>
          <w:rFonts w:ascii="Arial" w:hAnsi="Arial" w:cs="Arial"/>
          <w:b/>
          <w:bCs/>
          <w:i/>
          <w:iCs/>
        </w:rPr>
      </w:pPr>
    </w:p>
    <w:p w14:paraId="08C55A5C" w14:textId="1726EB62" w:rsidR="00C56280" w:rsidRPr="00011155" w:rsidRDefault="00201FD8" w:rsidP="00011155">
      <w:pPr>
        <w:pStyle w:val="Prrafodelista"/>
        <w:numPr>
          <w:ilvl w:val="0"/>
          <w:numId w:val="11"/>
        </w:numPr>
        <w:adjustRightInd w:val="0"/>
        <w:rPr>
          <w:rFonts w:ascii="Arial" w:eastAsia="Arial" w:hAnsi="Arial" w:cs="Arial"/>
          <w:b/>
          <w:lang w:eastAsia="es-ES_tradnl"/>
        </w:rPr>
      </w:pPr>
      <w:r w:rsidRPr="00011155">
        <w:rPr>
          <w:rFonts w:ascii="Arial" w:eastAsia="Arial" w:hAnsi="Arial" w:cs="Arial"/>
          <w:b/>
          <w:lang w:eastAsia="es-ES_tradnl"/>
        </w:rPr>
        <w:t xml:space="preserve">Artículo 1.6.1.4.1.35. y Artículo 1.6.1.4.1.36 Factura electrónica en operaciones de comercio exterior y en zonas francas. </w:t>
      </w:r>
      <w:r w:rsidRPr="00011155">
        <w:rPr>
          <w:rFonts w:ascii="Arial" w:hAnsi="Arial" w:cs="Arial"/>
        </w:rPr>
        <w:t>Aunque se está indicando "Los facturadores electrónicos, deberán cuando sea del caso, soportar con factura electrónica la venta de bienes y/o servicios desde cualquier zona geográfica del Territorio Aduanero Nacional hacia mercados externos o hacia zonas francas." en la práctica las instituciones colombianas como aduanas, puertos, entre otros están solicitando facturas en papel, copias, entre otros. Se deben alinear las instituciones para que reconozcan las facturas electrónicas.</w:t>
      </w:r>
    </w:p>
    <w:p w14:paraId="60605087" w14:textId="77777777" w:rsidR="00201FD8" w:rsidRPr="00011155" w:rsidRDefault="00201FD8" w:rsidP="00011155">
      <w:pPr>
        <w:pStyle w:val="Prrafodelista"/>
        <w:rPr>
          <w:rFonts w:ascii="Arial" w:eastAsia="Arial" w:hAnsi="Arial" w:cs="Arial"/>
          <w:b/>
          <w:lang w:eastAsia="es-ES_tradnl"/>
        </w:rPr>
      </w:pPr>
    </w:p>
    <w:p w14:paraId="36457C15" w14:textId="77777777" w:rsidR="00201FD8" w:rsidRPr="00011155" w:rsidRDefault="00201FD8" w:rsidP="00011155">
      <w:pPr>
        <w:pStyle w:val="Prrafodelista"/>
        <w:numPr>
          <w:ilvl w:val="0"/>
          <w:numId w:val="11"/>
        </w:numPr>
        <w:adjustRightInd w:val="0"/>
        <w:rPr>
          <w:rFonts w:ascii="Arial" w:eastAsia="Arial" w:hAnsi="Arial" w:cs="Arial"/>
          <w:b/>
          <w:lang w:eastAsia="es-ES_tradnl"/>
        </w:rPr>
      </w:pPr>
      <w:r w:rsidRPr="00011155">
        <w:rPr>
          <w:rFonts w:ascii="Arial" w:eastAsia="Arial" w:hAnsi="Arial" w:cs="Arial"/>
          <w:b/>
          <w:lang w:eastAsia="es-ES_tradnl"/>
        </w:rPr>
        <w:t xml:space="preserve">Artículo 1.6.1.4.1.38. Información a entregar a la Unidad Administrativa Especial Dirección de Impuestos y Aduanas Nacionales –DIAN.  </w:t>
      </w:r>
      <w:r w:rsidRPr="00011155">
        <w:rPr>
          <w:rFonts w:ascii="Arial" w:hAnsi="Arial" w:cs="Arial"/>
        </w:rPr>
        <w:t xml:space="preserve">Se propone a la DIAN que no establezca procedimientos como el indicado en la resolución 55 en donde se especificó que la factura de contingencia debía transcribirse una a una imposibilitando a las empresas con sistemas de información y volúmenes de facturas medios y altos poder considerar contingencia. Se sugiere que se implemente un reporte consolidado de estas operaciones. </w:t>
      </w:r>
    </w:p>
    <w:p w14:paraId="22B60B2C" w14:textId="77777777" w:rsidR="00201FD8" w:rsidRPr="00011155" w:rsidRDefault="00201FD8" w:rsidP="00011155">
      <w:pPr>
        <w:pStyle w:val="Prrafodelista"/>
        <w:rPr>
          <w:rFonts w:ascii="Arial" w:hAnsi="Arial" w:cs="Arial"/>
          <w:b/>
          <w:bCs/>
          <w:i/>
          <w:iCs/>
        </w:rPr>
      </w:pPr>
    </w:p>
    <w:p w14:paraId="55D34480" w14:textId="77777777" w:rsidR="00201FD8" w:rsidRPr="00011155" w:rsidRDefault="00201FD8" w:rsidP="00011155">
      <w:pPr>
        <w:pStyle w:val="Prrafodelista"/>
        <w:numPr>
          <w:ilvl w:val="0"/>
          <w:numId w:val="11"/>
        </w:numPr>
        <w:adjustRightInd w:val="0"/>
        <w:rPr>
          <w:rFonts w:ascii="Arial" w:eastAsia="Arial" w:hAnsi="Arial" w:cs="Arial"/>
          <w:b/>
          <w:lang w:eastAsia="es-ES_tradnl"/>
        </w:rPr>
      </w:pPr>
      <w:r w:rsidRPr="00011155">
        <w:rPr>
          <w:rFonts w:ascii="Arial" w:eastAsia="Arial" w:hAnsi="Arial" w:cs="Arial"/>
          <w:b/>
          <w:lang w:eastAsia="es-ES_tradnl"/>
        </w:rPr>
        <w:t xml:space="preserve">Artículo 1.6.1.4.1.39. Bitácora de ajustes. </w:t>
      </w:r>
      <w:r w:rsidRPr="00011155">
        <w:rPr>
          <w:rFonts w:ascii="Arial" w:hAnsi="Arial" w:cs="Arial"/>
        </w:rPr>
        <w:t xml:space="preserve">Se propone a la DIAN que en la bitácora se publiquen los documentos oficiales. </w:t>
      </w:r>
    </w:p>
    <w:p w14:paraId="24F7C209" w14:textId="77777777" w:rsidR="00201FD8" w:rsidRPr="00011155" w:rsidRDefault="00201FD8" w:rsidP="00011155">
      <w:pPr>
        <w:pStyle w:val="Prrafodelista"/>
        <w:rPr>
          <w:rFonts w:ascii="Arial" w:hAnsi="Arial" w:cs="Arial"/>
          <w:b/>
          <w:bCs/>
          <w:i/>
          <w:iCs/>
        </w:rPr>
      </w:pPr>
    </w:p>
    <w:p w14:paraId="274B196F" w14:textId="77777777" w:rsidR="00201FD8" w:rsidRPr="00011155" w:rsidRDefault="00201FD8" w:rsidP="00011155">
      <w:pPr>
        <w:pStyle w:val="Prrafodelista"/>
        <w:numPr>
          <w:ilvl w:val="0"/>
          <w:numId w:val="11"/>
        </w:numPr>
        <w:adjustRightInd w:val="0"/>
        <w:rPr>
          <w:rFonts w:ascii="Arial" w:eastAsia="Arial" w:hAnsi="Arial" w:cs="Arial"/>
          <w:b/>
          <w:lang w:eastAsia="es-ES_tradnl"/>
        </w:rPr>
      </w:pPr>
      <w:r w:rsidRPr="00011155">
        <w:rPr>
          <w:rFonts w:ascii="Arial" w:eastAsia="Arial" w:hAnsi="Arial" w:cs="Arial"/>
          <w:b/>
          <w:lang w:eastAsia="es-ES_tradnl"/>
        </w:rPr>
        <w:t xml:space="preserve">Artículo 1.6.1.4.1.40. Catálogo de participantes de factura electrónica. </w:t>
      </w:r>
      <w:r w:rsidRPr="00011155">
        <w:rPr>
          <w:rFonts w:ascii="Arial" w:hAnsi="Arial" w:cs="Arial"/>
        </w:rPr>
        <w:t>La publicación no se debe restringir a una publicación en página WEB debido al impacto que los cambios tendrían para los obligados a facturar, para los proveedores tecnológicos y para la Administración; por lo anterior consideramos relevante que se tenga en cuenta modificar por otros mecanismos y que la reforma cuente con la publicidad suficiente y el termino de transición correspondiente Adicional, se sugiere mejorar la consulta del catálogo de participantes en la página de la DIAN en donde permita realizar búsquedas masivas, por estados, empresas que ya están emitiendo factura electrónica, entre otros conceptos de búsquedas.</w:t>
      </w:r>
    </w:p>
    <w:p w14:paraId="071B8301" w14:textId="77777777" w:rsidR="00201FD8" w:rsidRPr="00011155" w:rsidRDefault="00201FD8" w:rsidP="00011155">
      <w:pPr>
        <w:pStyle w:val="Prrafodelista"/>
        <w:rPr>
          <w:rFonts w:ascii="Arial" w:hAnsi="Arial" w:cs="Arial"/>
          <w:b/>
          <w:bCs/>
          <w:i/>
          <w:iCs/>
        </w:rPr>
      </w:pPr>
    </w:p>
    <w:p w14:paraId="2F4C1F46" w14:textId="77777777" w:rsidR="00E5519F" w:rsidRPr="00011155" w:rsidRDefault="00201FD8" w:rsidP="00011155">
      <w:pPr>
        <w:pStyle w:val="Prrafodelista"/>
        <w:numPr>
          <w:ilvl w:val="0"/>
          <w:numId w:val="11"/>
        </w:numPr>
        <w:adjustRightInd w:val="0"/>
        <w:rPr>
          <w:rFonts w:ascii="Arial" w:eastAsia="Arial" w:hAnsi="Arial" w:cs="Arial"/>
          <w:b/>
          <w:lang w:eastAsia="es-ES_tradnl"/>
        </w:rPr>
      </w:pPr>
      <w:r w:rsidRPr="00011155">
        <w:rPr>
          <w:rFonts w:ascii="Arial" w:eastAsia="Arial" w:hAnsi="Arial" w:cs="Arial"/>
          <w:b/>
          <w:lang w:eastAsia="es-ES_tradnl"/>
        </w:rPr>
        <w:t xml:space="preserve">Artículo 1.6.1.4.1.41. Implementación anticipada de facturación electrónica. </w:t>
      </w:r>
      <w:r w:rsidRPr="00011155">
        <w:rPr>
          <w:rFonts w:ascii="Arial" w:hAnsi="Arial" w:cs="Arial"/>
        </w:rPr>
        <w:t xml:space="preserve">No es procedente que se impida a las empresas que quieran anticiparse a la factura electrónica que deban esperar a que la DIAN ponga los servicios informáticos de validación. El decreto debería permitir que las empresas que quieran anticiparse puedan hacerlo ya que por temas tecnológicos existen empresas (grupos empresariales) en el país que cuentas con razones sociales que son obligadas y otras que no lo son por su </w:t>
      </w:r>
      <w:proofErr w:type="gramStart"/>
      <w:r w:rsidRPr="00011155">
        <w:rPr>
          <w:rFonts w:ascii="Arial" w:hAnsi="Arial" w:cs="Arial"/>
        </w:rPr>
        <w:t>tamaño</w:t>
      </w:r>
      <w:proofErr w:type="gramEnd"/>
      <w:r w:rsidRPr="00011155">
        <w:rPr>
          <w:rFonts w:ascii="Arial" w:hAnsi="Arial" w:cs="Arial"/>
        </w:rPr>
        <w:t xml:space="preserve"> pero están en una misma plataforma tecnológica (sistema de facturación) por lo que se es necesario realizar los procesos de emisión de factura electrónica al mismo tiempo. Adicional, se estaría limitando el derecho de las empresas en optar por un mecanismo de facturación que le permite optimizar costos.</w:t>
      </w:r>
      <w:r w:rsidR="00E5519F" w:rsidRPr="00011155">
        <w:rPr>
          <w:rFonts w:ascii="Arial" w:hAnsi="Arial" w:cs="Arial"/>
        </w:rPr>
        <w:t xml:space="preserve"> </w:t>
      </w:r>
    </w:p>
    <w:p w14:paraId="16588FDB" w14:textId="77777777" w:rsidR="00E5519F" w:rsidRPr="00011155" w:rsidRDefault="00E5519F" w:rsidP="00011155">
      <w:pPr>
        <w:pStyle w:val="Prrafodelista"/>
        <w:rPr>
          <w:rFonts w:ascii="Arial" w:hAnsi="Arial" w:cs="Arial"/>
          <w:b/>
          <w:bCs/>
          <w:i/>
          <w:iCs/>
        </w:rPr>
      </w:pPr>
    </w:p>
    <w:p w14:paraId="4F87A329" w14:textId="5FB717F9" w:rsidR="00E5519F" w:rsidRPr="00011155" w:rsidRDefault="00E5519F" w:rsidP="00011155">
      <w:pPr>
        <w:pStyle w:val="Prrafodelista"/>
        <w:numPr>
          <w:ilvl w:val="0"/>
          <w:numId w:val="11"/>
        </w:numPr>
        <w:adjustRightInd w:val="0"/>
        <w:rPr>
          <w:rFonts w:ascii="Arial" w:hAnsi="Arial" w:cs="Arial"/>
        </w:rPr>
      </w:pPr>
      <w:r w:rsidRPr="00011155">
        <w:rPr>
          <w:rFonts w:ascii="Arial" w:eastAsia="Arial" w:hAnsi="Arial" w:cs="Arial"/>
          <w:b/>
          <w:lang w:eastAsia="es-ES_tradnl"/>
        </w:rPr>
        <w:t xml:space="preserve">Artículo 1.6.1.4.1.43. Condiciones para los litógrafos y/o tipógrafos. </w:t>
      </w:r>
      <w:r w:rsidRPr="00011155">
        <w:rPr>
          <w:rFonts w:ascii="Arial" w:hAnsi="Arial" w:cs="Arial"/>
        </w:rPr>
        <w:t>¿Qué sucede con aquellos que quieren implementar de manera voluntaria? ¿Es posible que ellos facturen electrónicamente o deben esperar a que la DIAN complete el dispositivo de validación previa?</w:t>
      </w:r>
    </w:p>
    <w:p w14:paraId="218B3463" w14:textId="77777777" w:rsidR="00E5519F" w:rsidRPr="00011155" w:rsidRDefault="00E5519F" w:rsidP="00011155">
      <w:pPr>
        <w:spacing w:line="240" w:lineRule="auto"/>
        <w:jc w:val="both"/>
        <w:rPr>
          <w:rFonts w:eastAsiaTheme="minorHAnsi"/>
          <w:lang w:val="es-CO" w:eastAsia="en-US"/>
        </w:rPr>
      </w:pPr>
    </w:p>
    <w:p w14:paraId="7465814B" w14:textId="7049C9A9" w:rsidR="00E5519F" w:rsidRPr="00011155" w:rsidRDefault="00E5519F" w:rsidP="00011155">
      <w:pPr>
        <w:spacing w:line="240" w:lineRule="auto"/>
        <w:ind w:left="720"/>
        <w:jc w:val="both"/>
        <w:rPr>
          <w:rFonts w:eastAsiaTheme="minorHAnsi"/>
          <w:lang w:val="es-CO" w:eastAsia="en-US"/>
        </w:rPr>
      </w:pPr>
      <w:r w:rsidRPr="00011155">
        <w:rPr>
          <w:rFonts w:eastAsiaTheme="minorHAnsi"/>
          <w:lang w:val="es-CO" w:eastAsia="en-US"/>
        </w:rPr>
        <w:t>Solicitamos conocer las fechas de manera anticipada, los PT de la CCCE nos ponemos a disposición para hacer pruebas.</w:t>
      </w:r>
    </w:p>
    <w:p w14:paraId="59CA4557" w14:textId="3FD2F8A4" w:rsidR="00E5519F" w:rsidRPr="00011155" w:rsidRDefault="00E5519F" w:rsidP="00011155">
      <w:pPr>
        <w:spacing w:line="240" w:lineRule="auto"/>
        <w:ind w:left="720"/>
        <w:jc w:val="both"/>
        <w:rPr>
          <w:rFonts w:eastAsiaTheme="minorHAnsi"/>
          <w:lang w:val="es-CO" w:eastAsia="en-US"/>
        </w:rPr>
      </w:pPr>
    </w:p>
    <w:p w14:paraId="1B9983D9" w14:textId="6AFC5F49" w:rsidR="00E5519F" w:rsidRPr="00011155" w:rsidRDefault="00E5519F" w:rsidP="00011155">
      <w:pPr>
        <w:pStyle w:val="Prrafodelista"/>
        <w:numPr>
          <w:ilvl w:val="0"/>
          <w:numId w:val="11"/>
        </w:numPr>
        <w:rPr>
          <w:rFonts w:ascii="Arial" w:eastAsia="Arial" w:hAnsi="Arial" w:cs="Arial"/>
          <w:b/>
          <w:lang w:eastAsia="es-ES_tradnl"/>
        </w:rPr>
      </w:pPr>
      <w:r w:rsidRPr="00011155">
        <w:rPr>
          <w:rFonts w:ascii="Arial" w:eastAsia="Arial" w:hAnsi="Arial" w:cs="Arial"/>
          <w:b/>
          <w:lang w:eastAsia="es-ES_tradnl"/>
        </w:rPr>
        <w:t xml:space="preserve">Artículo 1.6.1.4.1.46. Características y condiciones del Sistema Técnico de Control Tarjeta Fiscal. </w:t>
      </w:r>
      <w:r w:rsidRPr="00011155">
        <w:rPr>
          <w:rFonts w:ascii="Arial" w:hAnsi="Arial" w:cs="Arial"/>
        </w:rPr>
        <w:t>¿Cómo se relaciona el Sistema Técnico de Control Tarjeta Fiscal con la facturación electrónica?</w:t>
      </w:r>
    </w:p>
    <w:p w14:paraId="5316CBAF" w14:textId="77777777" w:rsidR="00907D89" w:rsidRPr="00011155" w:rsidRDefault="00907D89" w:rsidP="00011155">
      <w:pPr>
        <w:spacing w:line="240" w:lineRule="auto"/>
        <w:jc w:val="both"/>
        <w:rPr>
          <w:lang w:val="es-CO"/>
        </w:rPr>
      </w:pPr>
    </w:p>
    <w:p w14:paraId="7D95F6AB" w14:textId="77777777" w:rsidR="00606E5E" w:rsidRDefault="00606E5E" w:rsidP="00606E5E">
      <w:pPr>
        <w:jc w:val="both"/>
        <w:rPr>
          <w:rFonts w:ascii="Tahoma" w:hAnsi="Tahoma"/>
          <w:lang w:val="es-ES_tradnl"/>
        </w:rPr>
      </w:pPr>
      <w:r>
        <w:rPr>
          <w:rFonts w:ascii="Tahoma" w:hAnsi="Tahoma"/>
          <w:lang w:val="es-ES_tradnl"/>
        </w:rPr>
        <w:t>De antemano agradecemos el espacio permitido para compartir estos comentarios, y como Gremio que agrupa la mayor cantidad de Proveedores Tecnológicos habilitados, nos ponemos su disposición para que los avances en masificación de factura electrónica le traigan al país los beneficios económicos que tanto se esperan.</w:t>
      </w:r>
    </w:p>
    <w:p w14:paraId="61ADB721" w14:textId="77777777" w:rsidR="00BC7473" w:rsidRPr="00606E5E" w:rsidRDefault="00BC7473" w:rsidP="00011155">
      <w:pPr>
        <w:spacing w:line="240" w:lineRule="auto"/>
        <w:jc w:val="both"/>
        <w:rPr>
          <w:lang w:val="es-ES_tradnl"/>
        </w:rPr>
      </w:pPr>
    </w:p>
    <w:p w14:paraId="58D9104D" w14:textId="77777777" w:rsidR="00BC7473" w:rsidRPr="00011155" w:rsidRDefault="00BC7473" w:rsidP="00011155">
      <w:pPr>
        <w:spacing w:line="240" w:lineRule="auto"/>
        <w:jc w:val="both"/>
        <w:rPr>
          <w:lang w:val="es-CO"/>
        </w:rPr>
      </w:pPr>
    </w:p>
    <w:p w14:paraId="4C6CC5C4" w14:textId="74198B75" w:rsidR="00FC53CA" w:rsidRPr="00011155" w:rsidRDefault="00FA5533" w:rsidP="00011155">
      <w:pPr>
        <w:spacing w:line="240" w:lineRule="auto"/>
        <w:jc w:val="both"/>
        <w:rPr>
          <w:lang w:val="es-CO"/>
        </w:rPr>
      </w:pPr>
      <w:r>
        <w:rPr>
          <w:lang w:val="es-CO"/>
        </w:rPr>
        <w:t>Atentamente,</w:t>
      </w:r>
      <w:r w:rsidR="00493893" w:rsidRPr="00011155">
        <w:rPr>
          <w:lang w:val="es-CO"/>
        </w:rPr>
        <w:t xml:space="preserve"> </w:t>
      </w:r>
    </w:p>
    <w:p w14:paraId="03EBC8D9" w14:textId="605745A0" w:rsidR="0077044A" w:rsidRPr="00011155" w:rsidRDefault="0077044A" w:rsidP="00011155">
      <w:pPr>
        <w:spacing w:line="240" w:lineRule="auto"/>
        <w:jc w:val="both"/>
        <w:rPr>
          <w:lang w:val="es-CO"/>
        </w:rPr>
      </w:pPr>
    </w:p>
    <w:p w14:paraId="0F1706C3" w14:textId="77777777" w:rsidR="00BC7473" w:rsidRPr="00011155" w:rsidRDefault="00BC7473" w:rsidP="00011155">
      <w:pPr>
        <w:spacing w:line="240" w:lineRule="auto"/>
        <w:jc w:val="both"/>
        <w:rPr>
          <w:lang w:val="es-CO"/>
        </w:rPr>
      </w:pPr>
    </w:p>
    <w:p w14:paraId="0784DBBE" w14:textId="77777777" w:rsidR="00297DA8" w:rsidRPr="00011155" w:rsidRDefault="00297DA8" w:rsidP="00011155">
      <w:pPr>
        <w:spacing w:line="240" w:lineRule="auto"/>
        <w:jc w:val="both"/>
        <w:rPr>
          <w:lang w:val="es-CO"/>
        </w:rPr>
      </w:pPr>
    </w:p>
    <w:p w14:paraId="2C7090B8" w14:textId="699273FA" w:rsidR="00637FD0" w:rsidRPr="00011155" w:rsidRDefault="00C33F37" w:rsidP="00011155">
      <w:pPr>
        <w:spacing w:line="240" w:lineRule="auto"/>
        <w:jc w:val="both"/>
        <w:rPr>
          <w:lang w:val="es-CO"/>
        </w:rPr>
      </w:pPr>
      <w:r w:rsidRPr="00011155">
        <w:rPr>
          <w:b/>
          <w:lang w:val="es-CO"/>
        </w:rPr>
        <w:t>CÁMARA COLOMBIANA DE COMERCIO ELECTRÓNICO</w:t>
      </w:r>
    </w:p>
    <w:sectPr w:rsidR="00637FD0" w:rsidRPr="0001115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9D42A" w14:textId="77777777" w:rsidR="005E7969" w:rsidRDefault="005E7969" w:rsidP="00FF1CF0">
      <w:pPr>
        <w:spacing w:line="240" w:lineRule="auto"/>
      </w:pPr>
      <w:r>
        <w:separator/>
      </w:r>
    </w:p>
  </w:endnote>
  <w:endnote w:type="continuationSeparator" w:id="0">
    <w:p w14:paraId="3CFEC08C" w14:textId="77777777" w:rsidR="005E7969" w:rsidRDefault="005E7969" w:rsidP="00FF1CF0">
      <w:pPr>
        <w:spacing w:line="240" w:lineRule="auto"/>
      </w:pPr>
      <w:r>
        <w:continuationSeparator/>
      </w:r>
    </w:p>
  </w:endnote>
  <w:endnote w:type="continuationNotice" w:id="1">
    <w:p w14:paraId="332D0E85" w14:textId="77777777" w:rsidR="005E7969" w:rsidRDefault="005E79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Roman">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6C4F6" w14:textId="77777777" w:rsidR="00694CCF" w:rsidRDefault="00694C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718458"/>
      <w:docPartObj>
        <w:docPartGallery w:val="Page Numbers (Bottom of Page)"/>
        <w:docPartUnique/>
      </w:docPartObj>
    </w:sdtPr>
    <w:sdtEndPr/>
    <w:sdtContent>
      <w:p w14:paraId="5221C8FF" w14:textId="77777777" w:rsidR="000D1AC3" w:rsidRDefault="000D1AC3">
        <w:pPr>
          <w:pStyle w:val="Piedepgina"/>
          <w:jc w:val="center"/>
        </w:pPr>
        <w:r>
          <w:rPr>
            <w:noProof/>
            <w:lang w:val="es-ES" w:eastAsia="es-ES"/>
          </w:rPr>
          <w:drawing>
            <wp:anchor distT="0" distB="0" distL="114300" distR="114300" simplePos="0" relativeHeight="251658752" behindDoc="0" locked="0" layoutInCell="1" allowOverlap="1" wp14:anchorId="07205F75" wp14:editId="7FFAC545">
              <wp:simplePos x="0" y="0"/>
              <wp:positionH relativeFrom="page">
                <wp:posOffset>-38100</wp:posOffset>
              </wp:positionH>
              <wp:positionV relativeFrom="paragraph">
                <wp:posOffset>261620</wp:posOffset>
              </wp:positionV>
              <wp:extent cx="7595235" cy="46355"/>
              <wp:effectExtent l="0" t="0" r="5715" b="0"/>
              <wp:wrapThrough wrapText="bothSides">
                <wp:wrapPolygon edited="0">
                  <wp:start x="0" y="0"/>
                  <wp:lineTo x="0" y="8877"/>
                  <wp:lineTo x="21562" y="8877"/>
                  <wp:lineTo x="21562"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membrete.png"/>
                      <pic:cNvPicPr/>
                    </pic:nvPicPr>
                    <pic:blipFill>
                      <a:blip r:embed="rId1">
                        <a:extLst>
                          <a:ext uri="{28A0092B-C50C-407E-A947-70E740481C1C}">
                            <a14:useLocalDpi xmlns:a14="http://schemas.microsoft.com/office/drawing/2010/main" val="0"/>
                          </a:ext>
                        </a:extLst>
                      </a:blip>
                      <a:stretch>
                        <a:fillRect/>
                      </a:stretch>
                    </pic:blipFill>
                    <pic:spPr>
                      <a:xfrm>
                        <a:off x="0" y="0"/>
                        <a:ext cx="7595235" cy="46355"/>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7728" behindDoc="0" locked="0" layoutInCell="1" allowOverlap="1" wp14:anchorId="526EE9FE" wp14:editId="04138DEB">
                  <wp:simplePos x="0" y="0"/>
                  <wp:positionH relativeFrom="page">
                    <wp:posOffset>-38100</wp:posOffset>
                  </wp:positionH>
                  <wp:positionV relativeFrom="paragraph">
                    <wp:posOffset>262255</wp:posOffset>
                  </wp:positionV>
                  <wp:extent cx="7429500"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7429500" cy="276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65FB2D" w14:textId="77777777" w:rsidR="000D1AC3" w:rsidRPr="008C21CB" w:rsidRDefault="000D1AC3" w:rsidP="00320EA6">
                              <w:pPr>
                                <w:jc w:val="center"/>
                                <w:rPr>
                                  <w:rFonts w:ascii="Myriad Roman" w:hAnsi="Myriad Roman"/>
                                  <w:color w:val="17365D" w:themeColor="text2" w:themeShade="BF"/>
                                </w:rPr>
                              </w:pPr>
                              <w:r>
                                <w:rPr>
                                  <w:rFonts w:ascii="Myriad Roman" w:hAnsi="Myriad Roman"/>
                                  <w:color w:val="17365D" w:themeColor="text2" w:themeShade="BF"/>
                                </w:rPr>
                                <w:t>Carrera 10 # 97A - 13 Of. 304</w:t>
                              </w:r>
                              <w:r w:rsidRPr="008C21CB">
                                <w:rPr>
                                  <w:rFonts w:ascii="Myriad Roman" w:hAnsi="Myriad Roman"/>
                                  <w:color w:val="17365D" w:themeColor="text2" w:themeShade="BF"/>
                                </w:rPr>
                                <w:t xml:space="preserve"> - Bogotá, Colombia -  Tel: (57-1) 3004537</w:t>
                              </w:r>
                              <w:r>
                                <w:rPr>
                                  <w:rFonts w:ascii="Myriad Roman" w:hAnsi="Myriad Roman"/>
                                  <w:color w:val="17365D" w:themeColor="text2" w:themeShade="BF"/>
                                </w:rPr>
                                <w:t>, (57) 320 4258673 Skype</w:t>
                              </w:r>
                              <w:r w:rsidRPr="008C21CB">
                                <w:rPr>
                                  <w:rFonts w:ascii="Myriad Roman" w:hAnsi="Myriad Roman"/>
                                  <w:color w:val="17365D" w:themeColor="text2" w:themeShade="BF"/>
                                </w:rPr>
                                <w:t>: cccelectronico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EE9FE" id="_x0000_t202" coordsize="21600,21600" o:spt="202" path="m,l,21600r21600,l21600,xe">
                  <v:stroke joinstyle="miter"/>
                  <v:path gradientshapeok="t" o:connecttype="rect"/>
                </v:shapetype>
                <v:shape id="Cuadro de texto 2" o:spid="_x0000_s1026" type="#_x0000_t202" style="position:absolute;left:0;text-align:left;margin-left:-3pt;margin-top:20.65pt;width:585pt;height:21.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" filled="f" stroked="f">
                  <v:textbox>
                    <w:txbxContent>
                      <w:p w14:paraId="0C65FB2D" w14:textId="77777777" w:rsidR="000D1AC3" w:rsidRPr="008C21CB" w:rsidRDefault="000D1AC3" w:rsidP="00320EA6">
                        <w:pPr>
                          <w:jc w:val="center"/>
                          <w:rPr>
                            <w:rFonts w:ascii="Myriad Roman" w:hAnsi="Myriad Roman"/>
                            <w:color w:val="17365D" w:themeColor="text2" w:themeShade="BF"/>
                          </w:rPr>
                        </w:pPr>
                        <w:r>
                          <w:rPr>
                            <w:rFonts w:ascii="Myriad Roman" w:hAnsi="Myriad Roman"/>
                            <w:color w:val="17365D" w:themeColor="text2" w:themeShade="BF"/>
                          </w:rPr>
                          <w:t>Carrera 10 # 97A - 13 Of. 304</w:t>
                        </w:r>
                        <w:r w:rsidRPr="008C21CB">
                          <w:rPr>
                            <w:rFonts w:ascii="Myriad Roman" w:hAnsi="Myriad Roman"/>
                            <w:color w:val="17365D" w:themeColor="text2" w:themeShade="BF"/>
                          </w:rPr>
                          <w:t xml:space="preserve"> - Bogotá, Colombia -  Tel: (57-1) 3004537</w:t>
                        </w:r>
                        <w:r>
                          <w:rPr>
                            <w:rFonts w:ascii="Myriad Roman" w:hAnsi="Myriad Roman"/>
                            <w:color w:val="17365D" w:themeColor="text2" w:themeShade="BF"/>
                          </w:rPr>
                          <w:t>, (57) 320 4258673 Skype</w:t>
                        </w:r>
                        <w:r w:rsidRPr="008C21CB">
                          <w:rPr>
                            <w:rFonts w:ascii="Myriad Roman" w:hAnsi="Myriad Roman"/>
                            <w:color w:val="17365D" w:themeColor="text2" w:themeShade="BF"/>
                          </w:rPr>
                          <w:t>: cccelectronico</w:t>
                        </w:r>
                      </w:p>
                    </w:txbxContent>
                  </v:textbox>
                  <w10:wrap anchorx="page"/>
                </v:shape>
              </w:pict>
            </mc:Fallback>
          </mc:AlternateContent>
        </w:r>
        <w:r>
          <w:fldChar w:fldCharType="begin"/>
        </w:r>
        <w:r>
          <w:instrText>PAGE   \* MERGEFORMAT</w:instrText>
        </w:r>
        <w:r>
          <w:fldChar w:fldCharType="separate"/>
        </w:r>
        <w:r w:rsidR="00907D89" w:rsidRPr="00907D89">
          <w:rPr>
            <w:noProof/>
            <w:lang w:val="es-ES"/>
          </w:rPr>
          <w:t>1</w:t>
        </w:r>
        <w:r>
          <w:fldChar w:fldCharType="end"/>
        </w:r>
      </w:p>
    </w:sdtContent>
  </w:sdt>
  <w:p w14:paraId="7528ADFC" w14:textId="77777777" w:rsidR="000D1AC3" w:rsidRDefault="000D1AC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6BC0C" w14:textId="77777777" w:rsidR="00694CCF" w:rsidRDefault="00694C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36ABF" w14:textId="77777777" w:rsidR="005E7969" w:rsidRDefault="005E7969" w:rsidP="00FF1CF0">
      <w:pPr>
        <w:spacing w:line="240" w:lineRule="auto"/>
      </w:pPr>
      <w:r>
        <w:separator/>
      </w:r>
    </w:p>
  </w:footnote>
  <w:footnote w:type="continuationSeparator" w:id="0">
    <w:p w14:paraId="1AAB8DA2" w14:textId="77777777" w:rsidR="005E7969" w:rsidRDefault="005E7969" w:rsidP="00FF1CF0">
      <w:pPr>
        <w:spacing w:line="240" w:lineRule="auto"/>
      </w:pPr>
      <w:r>
        <w:continuationSeparator/>
      </w:r>
    </w:p>
  </w:footnote>
  <w:footnote w:type="continuationNotice" w:id="1">
    <w:p w14:paraId="40C21FED" w14:textId="77777777" w:rsidR="005E7969" w:rsidRDefault="005E796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FB925" w14:textId="14BE186A" w:rsidR="00694CCF" w:rsidRDefault="00694CC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4895" w14:textId="5BBB4C1C" w:rsidR="000D1AC3" w:rsidRDefault="000D1AC3">
    <w:pPr>
      <w:pStyle w:val="Encabezado"/>
    </w:pPr>
    <w:r>
      <w:rPr>
        <w:noProof/>
        <w:lang w:val="es-ES" w:eastAsia="es-ES"/>
      </w:rPr>
      <w:drawing>
        <wp:anchor distT="0" distB="0" distL="114300" distR="114300" simplePos="0" relativeHeight="251659264" behindDoc="0" locked="0" layoutInCell="1" allowOverlap="1" wp14:anchorId="66F00956" wp14:editId="21A30C6C">
          <wp:simplePos x="0" y="0"/>
          <wp:positionH relativeFrom="margin">
            <wp:posOffset>4070350</wp:posOffset>
          </wp:positionH>
          <wp:positionV relativeFrom="paragraph">
            <wp:posOffset>285750</wp:posOffset>
          </wp:positionV>
          <wp:extent cx="1616710" cy="628650"/>
          <wp:effectExtent l="0" t="0" r="254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CCE.png"/>
                  <pic:cNvPicPr/>
                </pic:nvPicPr>
                <pic:blipFill>
                  <a:blip r:embed="rId1">
                    <a:extLst>
                      <a:ext uri="{28A0092B-C50C-407E-A947-70E740481C1C}">
                        <a14:useLocalDpi xmlns:a14="http://schemas.microsoft.com/office/drawing/2010/main" val="0"/>
                      </a:ext>
                    </a:extLst>
                  </a:blip>
                  <a:stretch>
                    <a:fillRect/>
                  </a:stretch>
                </pic:blipFill>
                <pic:spPr>
                  <a:xfrm>
                    <a:off x="0" y="0"/>
                    <a:ext cx="1616710" cy="6286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D9B69" w14:textId="57B9FA24" w:rsidR="00694CCF" w:rsidRDefault="00694C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6FDF"/>
    <w:multiLevelType w:val="multilevel"/>
    <w:tmpl w:val="A39AEA80"/>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ED628D3"/>
    <w:multiLevelType w:val="hybridMultilevel"/>
    <w:tmpl w:val="B5562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E519B0"/>
    <w:multiLevelType w:val="hybridMultilevel"/>
    <w:tmpl w:val="7054A5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723947"/>
    <w:multiLevelType w:val="hybridMultilevel"/>
    <w:tmpl w:val="D2024114"/>
    <w:lvl w:ilvl="0" w:tplc="026E851A">
      <w:numFmt w:val="bullet"/>
      <w:lvlText w:val="-"/>
      <w:lvlJc w:val="left"/>
      <w:pPr>
        <w:ind w:left="1080" w:hanging="360"/>
      </w:pPr>
      <w:rPr>
        <w:rFonts w:ascii="Arial" w:eastAsia="Arial"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309166CA"/>
    <w:multiLevelType w:val="hybridMultilevel"/>
    <w:tmpl w:val="2FCE4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77C5D20"/>
    <w:multiLevelType w:val="hybridMultilevel"/>
    <w:tmpl w:val="A5D0A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A727EC"/>
    <w:multiLevelType w:val="hybridMultilevel"/>
    <w:tmpl w:val="69FAFA9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3FF6E6B"/>
    <w:multiLevelType w:val="hybridMultilevel"/>
    <w:tmpl w:val="9A0C23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4294340"/>
    <w:multiLevelType w:val="hybridMultilevel"/>
    <w:tmpl w:val="58FC436C"/>
    <w:lvl w:ilvl="0" w:tplc="BA226328">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3F41F20"/>
    <w:multiLevelType w:val="multilevel"/>
    <w:tmpl w:val="6C6CE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8E2760"/>
    <w:multiLevelType w:val="hybridMultilevel"/>
    <w:tmpl w:val="A236995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95278A"/>
    <w:multiLevelType w:val="hybridMultilevel"/>
    <w:tmpl w:val="C804CF98"/>
    <w:lvl w:ilvl="0" w:tplc="BB20538C">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DD22DBA"/>
    <w:multiLevelType w:val="multilevel"/>
    <w:tmpl w:val="EA86B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9"/>
  </w:num>
  <w:num w:numId="4">
    <w:abstractNumId w:val="12"/>
  </w:num>
  <w:num w:numId="5">
    <w:abstractNumId w:val="6"/>
  </w:num>
  <w:num w:numId="6">
    <w:abstractNumId w:val="8"/>
  </w:num>
  <w:num w:numId="7">
    <w:abstractNumId w:val="3"/>
  </w:num>
  <w:num w:numId="8">
    <w:abstractNumId w:val="1"/>
  </w:num>
  <w:num w:numId="9">
    <w:abstractNumId w:val="5"/>
  </w:num>
  <w:num w:numId="10">
    <w:abstractNumId w:val="4"/>
  </w:num>
  <w:num w:numId="11">
    <w:abstractNumId w:val="7"/>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9E"/>
    <w:rsid w:val="000005E4"/>
    <w:rsid w:val="00011155"/>
    <w:rsid w:val="000124D8"/>
    <w:rsid w:val="000566ED"/>
    <w:rsid w:val="00074BFC"/>
    <w:rsid w:val="000D1AC3"/>
    <w:rsid w:val="00136007"/>
    <w:rsid w:val="00142D4E"/>
    <w:rsid w:val="001448BF"/>
    <w:rsid w:val="001729AC"/>
    <w:rsid w:val="00185307"/>
    <w:rsid w:val="001A7392"/>
    <w:rsid w:val="00201FD8"/>
    <w:rsid w:val="00202900"/>
    <w:rsid w:val="00204354"/>
    <w:rsid w:val="0021570D"/>
    <w:rsid w:val="00226ECC"/>
    <w:rsid w:val="00245509"/>
    <w:rsid w:val="002559AD"/>
    <w:rsid w:val="002618E4"/>
    <w:rsid w:val="0029121A"/>
    <w:rsid w:val="00297DA8"/>
    <w:rsid w:val="002A6F52"/>
    <w:rsid w:val="002C570C"/>
    <w:rsid w:val="00320EA6"/>
    <w:rsid w:val="00345423"/>
    <w:rsid w:val="00364BFB"/>
    <w:rsid w:val="0038164E"/>
    <w:rsid w:val="003A47B2"/>
    <w:rsid w:val="003B635D"/>
    <w:rsid w:val="003C5FE6"/>
    <w:rsid w:val="0040560A"/>
    <w:rsid w:val="00466557"/>
    <w:rsid w:val="00493893"/>
    <w:rsid w:val="004A3FFD"/>
    <w:rsid w:val="00583C69"/>
    <w:rsid w:val="005B48BD"/>
    <w:rsid w:val="005E7969"/>
    <w:rsid w:val="005F12BD"/>
    <w:rsid w:val="00606E5E"/>
    <w:rsid w:val="00607D8F"/>
    <w:rsid w:val="006304CC"/>
    <w:rsid w:val="006338D3"/>
    <w:rsid w:val="00637FD0"/>
    <w:rsid w:val="0064458D"/>
    <w:rsid w:val="006757DC"/>
    <w:rsid w:val="00677153"/>
    <w:rsid w:val="00681CC1"/>
    <w:rsid w:val="00694CCF"/>
    <w:rsid w:val="006D0048"/>
    <w:rsid w:val="006E0B97"/>
    <w:rsid w:val="006E2196"/>
    <w:rsid w:val="007625DE"/>
    <w:rsid w:val="0077044A"/>
    <w:rsid w:val="00773813"/>
    <w:rsid w:val="00774445"/>
    <w:rsid w:val="007A621C"/>
    <w:rsid w:val="007D0D2A"/>
    <w:rsid w:val="007E4EA3"/>
    <w:rsid w:val="00840F18"/>
    <w:rsid w:val="00882840"/>
    <w:rsid w:val="008872E7"/>
    <w:rsid w:val="00897E2B"/>
    <w:rsid w:val="008C3BDD"/>
    <w:rsid w:val="008E1486"/>
    <w:rsid w:val="00907D89"/>
    <w:rsid w:val="009127DA"/>
    <w:rsid w:val="00931C9E"/>
    <w:rsid w:val="00934604"/>
    <w:rsid w:val="00935FFE"/>
    <w:rsid w:val="0098024E"/>
    <w:rsid w:val="009A59F2"/>
    <w:rsid w:val="009D3D20"/>
    <w:rsid w:val="00A913E8"/>
    <w:rsid w:val="00B10B6C"/>
    <w:rsid w:val="00B13ECE"/>
    <w:rsid w:val="00B37C4C"/>
    <w:rsid w:val="00B37E9B"/>
    <w:rsid w:val="00B433BE"/>
    <w:rsid w:val="00B7042D"/>
    <w:rsid w:val="00BC7473"/>
    <w:rsid w:val="00C16A73"/>
    <w:rsid w:val="00C17F2D"/>
    <w:rsid w:val="00C33F37"/>
    <w:rsid w:val="00C56280"/>
    <w:rsid w:val="00C81292"/>
    <w:rsid w:val="00D07399"/>
    <w:rsid w:val="00D82032"/>
    <w:rsid w:val="00D8625C"/>
    <w:rsid w:val="00DE4B1C"/>
    <w:rsid w:val="00DE5141"/>
    <w:rsid w:val="00E0520C"/>
    <w:rsid w:val="00E5519F"/>
    <w:rsid w:val="00F353B6"/>
    <w:rsid w:val="00F936E7"/>
    <w:rsid w:val="00F95529"/>
    <w:rsid w:val="00FA1CA8"/>
    <w:rsid w:val="00FA5533"/>
    <w:rsid w:val="00FC27E1"/>
    <w:rsid w:val="00FC53CA"/>
    <w:rsid w:val="00FD1422"/>
    <w:rsid w:val="00FD613A"/>
    <w:rsid w:val="00FF1CF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529EA2"/>
  <w15:docId w15:val="{8EDFF42F-1A80-4F28-BC28-B03572C5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s-ES_trad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2A6F52"/>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A6F52"/>
    <w:rPr>
      <w:rFonts w:ascii="Lucida Grande" w:hAnsi="Lucida Grande" w:cs="Lucida Grande"/>
      <w:sz w:val="18"/>
      <w:szCs w:val="18"/>
    </w:rPr>
  </w:style>
  <w:style w:type="paragraph" w:customStyle="1" w:styleId="Default">
    <w:name w:val="Default"/>
    <w:rsid w:val="00B433BE"/>
    <w:pPr>
      <w:autoSpaceDE w:val="0"/>
      <w:autoSpaceDN w:val="0"/>
      <w:adjustRightInd w:val="0"/>
      <w:spacing w:line="240" w:lineRule="auto"/>
    </w:pPr>
    <w:rPr>
      <w:rFonts w:eastAsiaTheme="minorHAnsi"/>
      <w:color w:val="000000"/>
      <w:sz w:val="24"/>
      <w:szCs w:val="24"/>
      <w:lang w:val="es-CO" w:eastAsia="en-US"/>
    </w:rPr>
  </w:style>
  <w:style w:type="paragraph" w:styleId="Prrafodelista">
    <w:name w:val="List Paragraph"/>
    <w:basedOn w:val="Normal"/>
    <w:uiPriority w:val="34"/>
    <w:qFormat/>
    <w:rsid w:val="00B433BE"/>
    <w:pPr>
      <w:overflowPunct w:val="0"/>
      <w:autoSpaceDE w:val="0"/>
      <w:autoSpaceDN w:val="0"/>
      <w:spacing w:before="120" w:line="240" w:lineRule="auto"/>
      <w:ind w:left="720"/>
      <w:contextualSpacing/>
      <w:jc w:val="both"/>
    </w:pPr>
    <w:rPr>
      <w:rFonts w:ascii="Calibri" w:eastAsiaTheme="minorHAnsi" w:hAnsi="Calibri" w:cs="Calibri"/>
      <w:lang w:val="es-CO" w:eastAsia="en-US"/>
    </w:rPr>
  </w:style>
  <w:style w:type="paragraph" w:styleId="Textonotapie">
    <w:name w:val="footnote text"/>
    <w:basedOn w:val="Normal"/>
    <w:link w:val="TextonotapieCar"/>
    <w:uiPriority w:val="99"/>
    <w:unhideWhenUsed/>
    <w:rsid w:val="00FF1CF0"/>
    <w:pPr>
      <w:spacing w:line="240" w:lineRule="auto"/>
    </w:pPr>
    <w:rPr>
      <w:rFonts w:asciiTheme="minorHAnsi" w:eastAsiaTheme="minorEastAsia" w:hAnsiTheme="minorHAnsi" w:cstheme="minorBidi"/>
      <w:sz w:val="24"/>
      <w:szCs w:val="24"/>
      <w:lang w:val="es-ES_tradnl" w:eastAsia="es-ES"/>
    </w:rPr>
  </w:style>
  <w:style w:type="character" w:customStyle="1" w:styleId="TextonotapieCar">
    <w:name w:val="Texto nota pie Car"/>
    <w:basedOn w:val="Fuentedeprrafopredeter"/>
    <w:link w:val="Textonotapie"/>
    <w:uiPriority w:val="99"/>
    <w:rsid w:val="00FF1CF0"/>
    <w:rPr>
      <w:rFonts w:asciiTheme="minorHAnsi" w:eastAsiaTheme="minorEastAsia" w:hAnsiTheme="minorHAnsi" w:cstheme="minorBidi"/>
      <w:sz w:val="24"/>
      <w:szCs w:val="24"/>
      <w:lang w:val="es-ES_tradnl" w:eastAsia="es-ES"/>
    </w:rPr>
  </w:style>
  <w:style w:type="character" w:styleId="Refdenotaalpie">
    <w:name w:val="footnote reference"/>
    <w:basedOn w:val="Fuentedeprrafopredeter"/>
    <w:uiPriority w:val="99"/>
    <w:unhideWhenUsed/>
    <w:rsid w:val="00FF1CF0"/>
    <w:rPr>
      <w:vertAlign w:val="superscript"/>
    </w:rPr>
  </w:style>
  <w:style w:type="paragraph" w:styleId="NormalWeb">
    <w:name w:val="Normal (Web)"/>
    <w:basedOn w:val="Normal"/>
    <w:uiPriority w:val="99"/>
    <w:semiHidden/>
    <w:unhideWhenUsed/>
    <w:rsid w:val="00773813"/>
    <w:pPr>
      <w:spacing w:before="100" w:beforeAutospacing="1" w:after="100" w:afterAutospacing="1" w:line="240" w:lineRule="auto"/>
    </w:pPr>
    <w:rPr>
      <w:rFonts w:ascii="Times New Roman" w:hAnsi="Times New Roman" w:cs="Times New Roman"/>
      <w:sz w:val="24"/>
      <w:szCs w:val="24"/>
      <w:lang w:val="es-ES_tradnl"/>
    </w:rPr>
  </w:style>
  <w:style w:type="paragraph" w:styleId="Encabezado">
    <w:name w:val="header"/>
    <w:basedOn w:val="Normal"/>
    <w:link w:val="EncabezadoCar"/>
    <w:uiPriority w:val="99"/>
    <w:unhideWhenUsed/>
    <w:rsid w:val="00320EA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0EA6"/>
  </w:style>
  <w:style w:type="paragraph" w:styleId="Piedepgina">
    <w:name w:val="footer"/>
    <w:basedOn w:val="Normal"/>
    <w:link w:val="PiedepginaCar"/>
    <w:uiPriority w:val="99"/>
    <w:unhideWhenUsed/>
    <w:rsid w:val="00320EA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20EA6"/>
  </w:style>
  <w:style w:type="paragraph" w:customStyle="1" w:styleId="Normal1">
    <w:name w:val="Normal1"/>
    <w:rsid w:val="00185307"/>
    <w:rPr>
      <w:color w:val="000000"/>
      <w:lang w:val="uz-Cyrl-UZ" w:eastAsia="es-ES"/>
    </w:rPr>
  </w:style>
  <w:style w:type="character" w:styleId="Hipervnculo">
    <w:name w:val="Hyperlink"/>
    <w:basedOn w:val="Fuentedeprrafopredeter"/>
    <w:uiPriority w:val="99"/>
    <w:unhideWhenUsed/>
    <w:rsid w:val="003B635D"/>
    <w:rPr>
      <w:color w:val="0000FF" w:themeColor="hyperlink"/>
      <w:u w:val="single"/>
    </w:rPr>
  </w:style>
  <w:style w:type="paragraph" w:styleId="Revisin">
    <w:name w:val="Revision"/>
    <w:hidden/>
    <w:uiPriority w:val="99"/>
    <w:semiHidden/>
    <w:rsid w:val="007A621C"/>
    <w:pPr>
      <w:spacing w:line="240" w:lineRule="auto"/>
    </w:pPr>
  </w:style>
  <w:style w:type="table" w:styleId="Tablaconcuadrcula">
    <w:name w:val="Table Grid"/>
    <w:basedOn w:val="Tablanormal"/>
    <w:uiPriority w:val="39"/>
    <w:rsid w:val="006D0048"/>
    <w:pPr>
      <w:spacing w:line="240" w:lineRule="auto"/>
    </w:pPr>
    <w:rPr>
      <w:rFonts w:asciiTheme="minorHAnsi" w:eastAsiaTheme="minorHAnsi" w:hAnsiTheme="minorHAnsi" w:cstheme="minorBidi"/>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E4B1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440687">
      <w:bodyDiv w:val="1"/>
      <w:marLeft w:val="0"/>
      <w:marRight w:val="0"/>
      <w:marTop w:val="0"/>
      <w:marBottom w:val="0"/>
      <w:divBdr>
        <w:top w:val="none" w:sz="0" w:space="0" w:color="auto"/>
        <w:left w:val="none" w:sz="0" w:space="0" w:color="auto"/>
        <w:bottom w:val="none" w:sz="0" w:space="0" w:color="auto"/>
        <w:right w:val="none" w:sz="0" w:space="0" w:color="auto"/>
      </w:divBdr>
    </w:div>
    <w:div w:id="418717974">
      <w:bodyDiv w:val="1"/>
      <w:marLeft w:val="0"/>
      <w:marRight w:val="0"/>
      <w:marTop w:val="0"/>
      <w:marBottom w:val="0"/>
      <w:divBdr>
        <w:top w:val="none" w:sz="0" w:space="0" w:color="auto"/>
        <w:left w:val="none" w:sz="0" w:space="0" w:color="auto"/>
        <w:bottom w:val="none" w:sz="0" w:space="0" w:color="auto"/>
        <w:right w:val="none" w:sz="0" w:space="0" w:color="auto"/>
      </w:divBdr>
      <w:divsChild>
        <w:div w:id="490021053">
          <w:marLeft w:val="720"/>
          <w:marRight w:val="0"/>
          <w:marTop w:val="0"/>
          <w:marBottom w:val="0"/>
          <w:divBdr>
            <w:top w:val="none" w:sz="0" w:space="0" w:color="auto"/>
            <w:left w:val="none" w:sz="0" w:space="0" w:color="auto"/>
            <w:bottom w:val="none" w:sz="0" w:space="0" w:color="auto"/>
            <w:right w:val="none" w:sz="0" w:space="0" w:color="auto"/>
          </w:divBdr>
        </w:div>
      </w:divsChild>
    </w:div>
    <w:div w:id="812873663">
      <w:bodyDiv w:val="1"/>
      <w:marLeft w:val="0"/>
      <w:marRight w:val="0"/>
      <w:marTop w:val="0"/>
      <w:marBottom w:val="0"/>
      <w:divBdr>
        <w:top w:val="none" w:sz="0" w:space="0" w:color="auto"/>
        <w:left w:val="none" w:sz="0" w:space="0" w:color="auto"/>
        <w:bottom w:val="none" w:sz="0" w:space="0" w:color="auto"/>
        <w:right w:val="none" w:sz="0" w:space="0" w:color="auto"/>
      </w:divBdr>
      <w:divsChild>
        <w:div w:id="1695155498">
          <w:marLeft w:val="0"/>
          <w:marRight w:val="0"/>
          <w:marTop w:val="0"/>
          <w:marBottom w:val="0"/>
          <w:divBdr>
            <w:top w:val="none" w:sz="0" w:space="0" w:color="auto"/>
            <w:left w:val="none" w:sz="0" w:space="0" w:color="auto"/>
            <w:bottom w:val="none" w:sz="0" w:space="0" w:color="auto"/>
            <w:right w:val="none" w:sz="0" w:space="0" w:color="auto"/>
          </w:divBdr>
          <w:divsChild>
            <w:div w:id="1556618905">
              <w:marLeft w:val="0"/>
              <w:marRight w:val="0"/>
              <w:marTop w:val="0"/>
              <w:marBottom w:val="0"/>
              <w:divBdr>
                <w:top w:val="none" w:sz="0" w:space="0" w:color="auto"/>
                <w:left w:val="none" w:sz="0" w:space="0" w:color="auto"/>
                <w:bottom w:val="none" w:sz="0" w:space="0" w:color="auto"/>
                <w:right w:val="none" w:sz="0" w:space="0" w:color="auto"/>
              </w:divBdr>
              <w:divsChild>
                <w:div w:id="1177694641">
                  <w:marLeft w:val="0"/>
                  <w:marRight w:val="0"/>
                  <w:marTop w:val="0"/>
                  <w:marBottom w:val="0"/>
                  <w:divBdr>
                    <w:top w:val="none" w:sz="0" w:space="0" w:color="auto"/>
                    <w:left w:val="none" w:sz="0" w:space="0" w:color="auto"/>
                    <w:bottom w:val="none" w:sz="0" w:space="0" w:color="auto"/>
                    <w:right w:val="none" w:sz="0" w:space="0" w:color="auto"/>
                  </w:divBdr>
                  <w:divsChild>
                    <w:div w:id="3031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26240">
      <w:bodyDiv w:val="1"/>
      <w:marLeft w:val="0"/>
      <w:marRight w:val="0"/>
      <w:marTop w:val="0"/>
      <w:marBottom w:val="0"/>
      <w:divBdr>
        <w:top w:val="none" w:sz="0" w:space="0" w:color="auto"/>
        <w:left w:val="none" w:sz="0" w:space="0" w:color="auto"/>
        <w:bottom w:val="none" w:sz="0" w:space="0" w:color="auto"/>
        <w:right w:val="none" w:sz="0" w:space="0" w:color="auto"/>
      </w:divBdr>
    </w:div>
    <w:div w:id="1383596378">
      <w:bodyDiv w:val="1"/>
      <w:marLeft w:val="0"/>
      <w:marRight w:val="0"/>
      <w:marTop w:val="0"/>
      <w:marBottom w:val="0"/>
      <w:divBdr>
        <w:top w:val="none" w:sz="0" w:space="0" w:color="auto"/>
        <w:left w:val="none" w:sz="0" w:space="0" w:color="auto"/>
        <w:bottom w:val="none" w:sz="0" w:space="0" w:color="auto"/>
        <w:right w:val="none" w:sz="0" w:space="0" w:color="auto"/>
      </w:divBdr>
    </w:div>
    <w:div w:id="1793086067">
      <w:bodyDiv w:val="1"/>
      <w:marLeft w:val="0"/>
      <w:marRight w:val="0"/>
      <w:marTop w:val="0"/>
      <w:marBottom w:val="0"/>
      <w:divBdr>
        <w:top w:val="none" w:sz="0" w:space="0" w:color="auto"/>
        <w:left w:val="none" w:sz="0" w:space="0" w:color="auto"/>
        <w:bottom w:val="none" w:sz="0" w:space="0" w:color="auto"/>
        <w:right w:val="none" w:sz="0" w:space="0" w:color="auto"/>
      </w:divBdr>
    </w:div>
    <w:div w:id="1850872645">
      <w:bodyDiv w:val="1"/>
      <w:marLeft w:val="0"/>
      <w:marRight w:val="0"/>
      <w:marTop w:val="0"/>
      <w:marBottom w:val="0"/>
      <w:divBdr>
        <w:top w:val="none" w:sz="0" w:space="0" w:color="auto"/>
        <w:left w:val="none" w:sz="0" w:space="0" w:color="auto"/>
        <w:bottom w:val="none" w:sz="0" w:space="0" w:color="auto"/>
        <w:right w:val="none" w:sz="0" w:space="0" w:color="auto"/>
      </w:divBdr>
    </w:div>
    <w:div w:id="1873036216">
      <w:bodyDiv w:val="1"/>
      <w:marLeft w:val="0"/>
      <w:marRight w:val="0"/>
      <w:marTop w:val="0"/>
      <w:marBottom w:val="0"/>
      <w:divBdr>
        <w:top w:val="none" w:sz="0" w:space="0" w:color="auto"/>
        <w:left w:val="none" w:sz="0" w:space="0" w:color="auto"/>
        <w:bottom w:val="none" w:sz="0" w:space="0" w:color="auto"/>
        <w:right w:val="none" w:sz="0" w:space="0" w:color="auto"/>
      </w:divBdr>
    </w:div>
    <w:div w:id="1886944984">
      <w:bodyDiv w:val="1"/>
      <w:marLeft w:val="0"/>
      <w:marRight w:val="0"/>
      <w:marTop w:val="0"/>
      <w:marBottom w:val="0"/>
      <w:divBdr>
        <w:top w:val="none" w:sz="0" w:space="0" w:color="auto"/>
        <w:left w:val="none" w:sz="0" w:space="0" w:color="auto"/>
        <w:bottom w:val="none" w:sz="0" w:space="0" w:color="auto"/>
        <w:right w:val="none" w:sz="0" w:space="0" w:color="auto"/>
      </w:divBdr>
    </w:div>
    <w:div w:id="2023778785">
      <w:bodyDiv w:val="1"/>
      <w:marLeft w:val="0"/>
      <w:marRight w:val="0"/>
      <w:marTop w:val="0"/>
      <w:marBottom w:val="0"/>
      <w:divBdr>
        <w:top w:val="none" w:sz="0" w:space="0" w:color="auto"/>
        <w:left w:val="none" w:sz="0" w:space="0" w:color="auto"/>
        <w:bottom w:val="none" w:sz="0" w:space="0" w:color="auto"/>
        <w:right w:val="none" w:sz="0" w:space="0" w:color="auto"/>
      </w:divBdr>
    </w:div>
    <w:div w:id="2089840659">
      <w:bodyDiv w:val="1"/>
      <w:marLeft w:val="0"/>
      <w:marRight w:val="0"/>
      <w:marTop w:val="0"/>
      <w:marBottom w:val="0"/>
      <w:divBdr>
        <w:top w:val="none" w:sz="0" w:space="0" w:color="auto"/>
        <w:left w:val="none" w:sz="0" w:space="0" w:color="auto"/>
        <w:bottom w:val="none" w:sz="0" w:space="0" w:color="auto"/>
        <w:right w:val="none" w:sz="0" w:space="0" w:color="auto"/>
      </w:divBdr>
      <w:divsChild>
        <w:div w:id="856850347">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AC9C0EA7-443F-460E-ABB9-CE3AFD79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2252</Words>
  <Characters>12386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 CCCE</dc:creator>
  <cp:lastModifiedBy>Cordinadora Operaciones</cp:lastModifiedBy>
  <cp:revision>8</cp:revision>
  <cp:lastPrinted>2018-08-01T22:14:00Z</cp:lastPrinted>
  <dcterms:created xsi:type="dcterms:W3CDTF">2018-11-14T19:38:00Z</dcterms:created>
  <dcterms:modified xsi:type="dcterms:W3CDTF">2018-11-15T13:27:00Z</dcterms:modified>
</cp:coreProperties>
</file>