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F05C8" w14:textId="77777777" w:rsidR="00844D61" w:rsidRPr="00443ACA" w:rsidRDefault="00844D61" w:rsidP="0082189B">
      <w:pPr>
        <w:pStyle w:val="Sinespaciado"/>
        <w:jc w:val="both"/>
        <w:rPr>
          <w:rFonts w:ascii="Palatino Linotype" w:hAnsi="Palatino Linotype"/>
          <w:sz w:val="23"/>
          <w:szCs w:val="23"/>
          <w:lang w:val="es-CO"/>
        </w:rPr>
      </w:pPr>
    </w:p>
    <w:p w14:paraId="4EEDBD6B" w14:textId="787782CE" w:rsidR="00844D61" w:rsidRPr="00443ACA" w:rsidRDefault="00844D61" w:rsidP="0082189B">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Bogotá D.C, </w:t>
      </w:r>
      <w:r w:rsidR="0082189B" w:rsidRPr="00443ACA">
        <w:rPr>
          <w:rFonts w:ascii="Palatino Linotype" w:hAnsi="Palatino Linotype"/>
          <w:sz w:val="23"/>
          <w:szCs w:val="23"/>
          <w:lang w:val="es-CO"/>
        </w:rPr>
        <w:t>diciembre 6</w:t>
      </w:r>
      <w:r w:rsidRPr="00443ACA">
        <w:rPr>
          <w:rFonts w:ascii="Palatino Linotype" w:hAnsi="Palatino Linotype"/>
          <w:sz w:val="23"/>
          <w:szCs w:val="23"/>
          <w:lang w:val="es-CO"/>
        </w:rPr>
        <w:t xml:space="preserve"> de 2018 </w:t>
      </w:r>
    </w:p>
    <w:p w14:paraId="1188A411" w14:textId="77777777" w:rsidR="00844D61" w:rsidRPr="00443ACA" w:rsidRDefault="00844D61" w:rsidP="0082189B">
      <w:pPr>
        <w:pStyle w:val="Sinespaciado"/>
        <w:jc w:val="both"/>
        <w:rPr>
          <w:rFonts w:ascii="Palatino Linotype" w:hAnsi="Palatino Linotype"/>
          <w:sz w:val="23"/>
          <w:szCs w:val="23"/>
          <w:lang w:val="es-CO"/>
        </w:rPr>
      </w:pPr>
    </w:p>
    <w:p w14:paraId="420ACCC2" w14:textId="77777777" w:rsidR="00844D61" w:rsidRPr="00443ACA" w:rsidRDefault="00844D61" w:rsidP="0082189B">
      <w:pPr>
        <w:pStyle w:val="Sinespaciado"/>
        <w:jc w:val="both"/>
        <w:rPr>
          <w:rFonts w:ascii="Palatino Linotype" w:hAnsi="Palatino Linotype"/>
          <w:sz w:val="23"/>
          <w:szCs w:val="23"/>
          <w:lang w:val="es-CO"/>
        </w:rPr>
      </w:pPr>
    </w:p>
    <w:p w14:paraId="335E0B3D" w14:textId="77777777" w:rsidR="00844D61" w:rsidRPr="00443ACA" w:rsidRDefault="00844D61" w:rsidP="0082189B">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Honorable Representante a la Cámara</w:t>
      </w:r>
    </w:p>
    <w:p w14:paraId="39E1F80E" w14:textId="77777777" w:rsidR="00844D61" w:rsidRPr="00443ACA" w:rsidRDefault="00844D61" w:rsidP="0082189B">
      <w:pPr>
        <w:pStyle w:val="Sinespaciado"/>
        <w:jc w:val="both"/>
        <w:rPr>
          <w:rFonts w:ascii="Palatino Linotype" w:hAnsi="Palatino Linotype"/>
          <w:b/>
          <w:sz w:val="23"/>
          <w:szCs w:val="23"/>
          <w:lang w:val="es-CO"/>
        </w:rPr>
      </w:pPr>
      <w:r w:rsidRPr="00443ACA">
        <w:rPr>
          <w:rFonts w:ascii="Palatino Linotype" w:hAnsi="Palatino Linotype"/>
          <w:b/>
          <w:sz w:val="23"/>
          <w:szCs w:val="23"/>
          <w:lang w:val="es-CO"/>
        </w:rPr>
        <w:t>JENNIFER ARIAS FALLA</w:t>
      </w:r>
    </w:p>
    <w:p w14:paraId="2CF60335" w14:textId="4AA52980" w:rsidR="00844D61" w:rsidRPr="00443ACA" w:rsidRDefault="00844D61" w:rsidP="0082189B">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Cámara de Representantes</w:t>
      </w:r>
    </w:p>
    <w:p w14:paraId="3D35E22D" w14:textId="5430A3B3" w:rsidR="00D96192" w:rsidRPr="00443ACA" w:rsidRDefault="00D96192" w:rsidP="0082189B">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Congreso de la </w:t>
      </w:r>
      <w:proofErr w:type="spellStart"/>
      <w:r w:rsidRPr="00443ACA">
        <w:rPr>
          <w:rFonts w:ascii="Palatino Linotype" w:hAnsi="Palatino Linotype"/>
          <w:sz w:val="23"/>
          <w:szCs w:val="23"/>
          <w:lang w:val="es-CO"/>
        </w:rPr>
        <w:t>Repúbica</w:t>
      </w:r>
      <w:proofErr w:type="spellEnd"/>
    </w:p>
    <w:p w14:paraId="32927F38" w14:textId="534AC8EF" w:rsidR="00844D61" w:rsidRPr="00443ACA" w:rsidRDefault="00D96192" w:rsidP="0082189B">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Ciudad</w:t>
      </w:r>
    </w:p>
    <w:p w14:paraId="770B664B" w14:textId="77777777" w:rsidR="00D96192" w:rsidRPr="00443ACA" w:rsidRDefault="00D96192" w:rsidP="0082189B">
      <w:pPr>
        <w:pStyle w:val="Sinespaciado"/>
        <w:jc w:val="both"/>
        <w:rPr>
          <w:rFonts w:ascii="Palatino Linotype" w:hAnsi="Palatino Linotype"/>
          <w:sz w:val="23"/>
          <w:szCs w:val="23"/>
          <w:lang w:val="es-CO"/>
        </w:rPr>
      </w:pPr>
    </w:p>
    <w:p w14:paraId="3927557F" w14:textId="77777777" w:rsidR="00844D61" w:rsidRPr="00443ACA" w:rsidRDefault="00844D61" w:rsidP="00D96192">
      <w:pPr>
        <w:pStyle w:val="Sinespaciado"/>
        <w:ind w:left="720"/>
        <w:jc w:val="both"/>
        <w:rPr>
          <w:rFonts w:ascii="Palatino Linotype" w:hAnsi="Palatino Linotype"/>
          <w:sz w:val="23"/>
          <w:szCs w:val="23"/>
          <w:lang w:val="es-CO"/>
        </w:rPr>
      </w:pPr>
      <w:r w:rsidRPr="00443ACA">
        <w:rPr>
          <w:rFonts w:ascii="Palatino Linotype" w:hAnsi="Palatino Linotype"/>
          <w:b/>
          <w:sz w:val="23"/>
          <w:szCs w:val="23"/>
          <w:lang w:val="es-CO"/>
        </w:rPr>
        <w:t>Asunto.</w:t>
      </w:r>
      <w:r w:rsidRPr="00443ACA">
        <w:rPr>
          <w:rFonts w:ascii="Palatino Linotype" w:hAnsi="Palatino Linotype"/>
          <w:sz w:val="23"/>
          <w:szCs w:val="23"/>
          <w:lang w:val="es-CO"/>
        </w:rPr>
        <w:t xml:space="preserve">  Comentarios al Proyecto de Ley 082 de 2018 “Por medio del cual se regula el trabajo digital en Colombia y se dictan otras disposiciones”. </w:t>
      </w:r>
    </w:p>
    <w:p w14:paraId="3507ADEC" w14:textId="77777777" w:rsidR="00844D61" w:rsidRPr="00443ACA" w:rsidRDefault="00844D61" w:rsidP="00D96192">
      <w:pPr>
        <w:pStyle w:val="Sinespaciado"/>
        <w:jc w:val="both"/>
        <w:rPr>
          <w:rFonts w:ascii="Palatino Linotype" w:hAnsi="Palatino Linotype"/>
          <w:sz w:val="23"/>
          <w:szCs w:val="23"/>
          <w:lang w:val="es-CO"/>
        </w:rPr>
      </w:pPr>
    </w:p>
    <w:p w14:paraId="02A806D6" w14:textId="77777777" w:rsidR="00844D61" w:rsidRPr="00443ACA" w:rsidRDefault="00844D61" w:rsidP="00D96192">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Respetada Representante: </w:t>
      </w:r>
    </w:p>
    <w:p w14:paraId="031AF9E4" w14:textId="77777777" w:rsidR="00844D61" w:rsidRPr="00443ACA" w:rsidRDefault="00844D61" w:rsidP="00D96192">
      <w:pPr>
        <w:pStyle w:val="Sinespaciado"/>
        <w:jc w:val="both"/>
        <w:rPr>
          <w:rFonts w:ascii="Palatino Linotype" w:hAnsi="Palatino Linotype"/>
          <w:b/>
          <w:bCs/>
          <w:sz w:val="23"/>
          <w:szCs w:val="23"/>
          <w:lang w:val="es-CO"/>
        </w:rPr>
      </w:pPr>
    </w:p>
    <w:p w14:paraId="3CF15182" w14:textId="0B60338D" w:rsidR="00844D61" w:rsidRPr="00443ACA" w:rsidRDefault="00844D61" w:rsidP="00D96192">
      <w:pPr>
        <w:pStyle w:val="Sinespaciado"/>
        <w:jc w:val="both"/>
        <w:rPr>
          <w:rFonts w:ascii="Palatino Linotype" w:hAnsi="Palatino Linotype" w:cstheme="minorBidi"/>
          <w:sz w:val="23"/>
          <w:szCs w:val="23"/>
          <w:lang w:val="es-CO"/>
        </w:rPr>
      </w:pPr>
      <w:r w:rsidRPr="00443ACA">
        <w:rPr>
          <w:rFonts w:ascii="Palatino Linotype" w:hAnsi="Palatino Linotype"/>
          <w:sz w:val="23"/>
          <w:szCs w:val="23"/>
          <w:lang w:val="es-CO"/>
        </w:rPr>
        <w:t>La Cámara Colombiana de Comercio Electrónico – CCCE, es una entidad gremial que agrupa cerca de cuatrocientas (400) empresas relacionadas con la Economía Digital, Comercio Electrónico e Internet, cuya misión es ser vocero de sus agremiados y promover un entorno favorable para el desarrollo del comercio electrónico aportando a la construcción de Política Pública y la generación de conocimiento y confianza en el sector.</w:t>
      </w:r>
    </w:p>
    <w:p w14:paraId="10D0C31D" w14:textId="77777777" w:rsidR="00844D61" w:rsidRPr="00443ACA" w:rsidRDefault="00844D61" w:rsidP="00D96192">
      <w:pPr>
        <w:pStyle w:val="Sinespaciado"/>
        <w:jc w:val="both"/>
        <w:rPr>
          <w:rFonts w:ascii="Palatino Linotype" w:eastAsia="Times New Roman" w:hAnsi="Palatino Linotype" w:cs="Times New Roman"/>
          <w:sz w:val="23"/>
          <w:szCs w:val="23"/>
          <w:lang w:val="es-CO"/>
        </w:rPr>
      </w:pPr>
    </w:p>
    <w:p w14:paraId="33D9E808" w14:textId="77777777" w:rsidR="00844D61" w:rsidRPr="00443ACA" w:rsidRDefault="00844D61" w:rsidP="00D96192">
      <w:pPr>
        <w:pStyle w:val="Sinespaciado"/>
        <w:jc w:val="both"/>
        <w:rPr>
          <w:rFonts w:ascii="Palatino Linotype" w:eastAsia="Times New Roman" w:hAnsi="Palatino Linotype" w:cs="Times New Roman"/>
          <w:sz w:val="23"/>
          <w:szCs w:val="23"/>
          <w:lang w:val="es-CO"/>
        </w:rPr>
      </w:pPr>
      <w:r w:rsidRPr="00443ACA">
        <w:rPr>
          <w:rFonts w:ascii="Palatino Linotype" w:eastAsia="Times New Roman" w:hAnsi="Palatino Linotype" w:cs="Times New Roman"/>
          <w:sz w:val="23"/>
          <w:szCs w:val="23"/>
          <w:lang w:val="es-CO"/>
        </w:rPr>
        <w:t xml:space="preserve">Para el gremio de Comercio Electrónico y Economía Digital, el proyecto de ley </w:t>
      </w:r>
      <w:r w:rsidRPr="00443ACA">
        <w:rPr>
          <w:rFonts w:ascii="Palatino Linotype" w:hAnsi="Palatino Linotype"/>
          <w:sz w:val="23"/>
          <w:szCs w:val="23"/>
          <w:lang w:val="es-CO"/>
        </w:rPr>
        <w:t xml:space="preserve">082 de 2018 </w:t>
      </w:r>
      <w:r w:rsidRPr="00443ACA">
        <w:rPr>
          <w:rFonts w:ascii="Palatino Linotype" w:hAnsi="Palatino Linotype"/>
          <w:bCs/>
          <w:i/>
          <w:sz w:val="23"/>
          <w:szCs w:val="23"/>
          <w:lang w:val="es-CO"/>
        </w:rPr>
        <w:t>“Por medio del cual se regula el trabajo digital en Colombia y se dictan otras disposiciones”</w:t>
      </w:r>
      <w:r w:rsidRPr="00443ACA">
        <w:rPr>
          <w:rFonts w:ascii="Palatino Linotype" w:eastAsia="Times New Roman" w:hAnsi="Palatino Linotype" w:cs="Times New Roman"/>
          <w:sz w:val="23"/>
          <w:szCs w:val="23"/>
          <w:lang w:val="es-CO"/>
        </w:rPr>
        <w:t>, si bien tiene un origen plausible, en la medida que es razonable y deseable que el Congreso de la República se ocupe de una realidad económica surgida a partir de las nuevas tecnologías, la forma como ha sido abordado y los efectos que de ser aprobado, traería para la economía, y en particular para el comercio electrónico y economía digital, llevan a concluir que el mencionado proyecto debe ser objeto de una revisión profunda, y por lo tanto, respetuosamente sugerimos que frente al texto actual, se proceda al archivo del mismo.</w:t>
      </w:r>
    </w:p>
    <w:p w14:paraId="49A75319" w14:textId="77777777" w:rsidR="00844D61" w:rsidRPr="00443ACA" w:rsidRDefault="00844D61" w:rsidP="00D96192">
      <w:pPr>
        <w:pStyle w:val="Sinespaciado"/>
        <w:jc w:val="both"/>
        <w:rPr>
          <w:rFonts w:ascii="Palatino Linotype" w:eastAsia="Times New Roman" w:hAnsi="Palatino Linotype" w:cs="Times New Roman"/>
          <w:sz w:val="23"/>
          <w:szCs w:val="23"/>
          <w:lang w:val="es-CO"/>
        </w:rPr>
      </w:pPr>
    </w:p>
    <w:p w14:paraId="332BB7E8" w14:textId="77777777" w:rsidR="00844D61" w:rsidRPr="00443ACA" w:rsidRDefault="00844D61" w:rsidP="00D96192">
      <w:pPr>
        <w:pStyle w:val="Sinespaciado"/>
        <w:jc w:val="both"/>
        <w:rPr>
          <w:rFonts w:ascii="Palatino Linotype" w:eastAsia="Times New Roman" w:hAnsi="Palatino Linotype" w:cs="Times New Roman"/>
          <w:sz w:val="23"/>
          <w:szCs w:val="23"/>
          <w:lang w:val="es-CO"/>
        </w:rPr>
      </w:pPr>
      <w:r w:rsidRPr="00443ACA">
        <w:rPr>
          <w:rFonts w:ascii="Palatino Linotype" w:eastAsia="Times New Roman" w:hAnsi="Palatino Linotype" w:cs="Times New Roman"/>
          <w:sz w:val="23"/>
          <w:szCs w:val="23"/>
          <w:lang w:val="es-CO"/>
        </w:rPr>
        <w:t>Fundamentalmente, consideramos que el abordaje de este tipo de materias se debe dar en el marco de una revisión estructural de la normatividad laboral que contemple los disruptivos de modelos de negocio que se plantean por las tendencias de la economía digital y colaborativa, que se han venido adoptando en el país. Por lo que no resulta de recibo hacer planteamientos regulatorios que tienda a generar categorizaciones sobre estos modelos.</w:t>
      </w:r>
    </w:p>
    <w:p w14:paraId="2F3B003F" w14:textId="77777777" w:rsidR="00844D61" w:rsidRPr="00443ACA" w:rsidRDefault="00844D61" w:rsidP="00D96192">
      <w:pPr>
        <w:pStyle w:val="Sinespaciado"/>
        <w:jc w:val="both"/>
        <w:rPr>
          <w:rFonts w:ascii="Palatino Linotype" w:eastAsia="Times New Roman" w:hAnsi="Palatino Linotype" w:cs="Times New Roman"/>
          <w:sz w:val="23"/>
          <w:szCs w:val="23"/>
          <w:lang w:val="es-CO"/>
        </w:rPr>
      </w:pPr>
    </w:p>
    <w:p w14:paraId="058536E0" w14:textId="77777777" w:rsidR="00844D61" w:rsidRPr="00443ACA" w:rsidRDefault="00844D61" w:rsidP="00D96192">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Los fundamentos de dicha solicitud son los siguientes: </w:t>
      </w:r>
    </w:p>
    <w:p w14:paraId="6296D583" w14:textId="77777777" w:rsidR="00844D61" w:rsidRPr="00443ACA" w:rsidRDefault="00844D61" w:rsidP="00D96192">
      <w:pPr>
        <w:pStyle w:val="Sinespaciado"/>
        <w:jc w:val="both"/>
        <w:rPr>
          <w:rFonts w:ascii="Palatino Linotype" w:eastAsiaTheme="minorEastAsia" w:hAnsi="Palatino Linotype"/>
          <w:b/>
          <w:bCs/>
          <w:sz w:val="23"/>
          <w:szCs w:val="23"/>
          <w:lang w:val="es-CO"/>
        </w:rPr>
      </w:pPr>
    </w:p>
    <w:p w14:paraId="4F89EDE3" w14:textId="77777777" w:rsidR="00844D61" w:rsidRPr="00443ACA" w:rsidRDefault="00844D61" w:rsidP="00D96192">
      <w:pPr>
        <w:pStyle w:val="Sinespaciado"/>
        <w:jc w:val="both"/>
        <w:rPr>
          <w:rFonts w:ascii="Palatino Linotype" w:hAnsi="Palatino Linotype"/>
          <w:b/>
          <w:bCs/>
          <w:sz w:val="23"/>
          <w:szCs w:val="23"/>
          <w:lang w:val="es-CO"/>
        </w:rPr>
      </w:pPr>
      <w:r w:rsidRPr="00443ACA">
        <w:rPr>
          <w:rFonts w:ascii="Palatino Linotype" w:hAnsi="Palatino Linotype"/>
          <w:b/>
          <w:bCs/>
          <w:sz w:val="23"/>
          <w:szCs w:val="23"/>
          <w:lang w:val="es-CO"/>
        </w:rPr>
        <w:t xml:space="preserve">Primer Comentario.  Diversidad de modelos de economía colaborativa y de los esquemas contractuales utilizados, imposibles de estandarizar en una solo definición. </w:t>
      </w:r>
    </w:p>
    <w:p w14:paraId="7977FB7F" w14:textId="77777777" w:rsidR="00844D61" w:rsidRPr="00443ACA" w:rsidRDefault="00844D61" w:rsidP="00D96192">
      <w:pPr>
        <w:pStyle w:val="Sinespaciado"/>
        <w:jc w:val="both"/>
        <w:rPr>
          <w:rFonts w:ascii="Palatino Linotype" w:hAnsi="Palatino Linotype"/>
          <w:b/>
          <w:bCs/>
          <w:sz w:val="23"/>
          <w:szCs w:val="23"/>
          <w:lang w:val="es-CO"/>
        </w:rPr>
      </w:pPr>
    </w:p>
    <w:p w14:paraId="0AF835C5" w14:textId="29C4CB39" w:rsidR="00844D61" w:rsidRPr="00443ACA" w:rsidRDefault="00844D61" w:rsidP="00D96192">
      <w:pPr>
        <w:pStyle w:val="Sinespaciado"/>
        <w:jc w:val="both"/>
        <w:rPr>
          <w:rFonts w:ascii="Palatino Linotype" w:hAnsi="Palatino Linotype"/>
          <w:bCs/>
          <w:sz w:val="23"/>
          <w:szCs w:val="23"/>
          <w:lang w:val="es-CO"/>
        </w:rPr>
      </w:pPr>
      <w:r w:rsidRPr="00443ACA">
        <w:rPr>
          <w:rFonts w:ascii="Palatino Linotype" w:hAnsi="Palatino Linotype"/>
          <w:bCs/>
          <w:sz w:val="23"/>
          <w:szCs w:val="23"/>
          <w:lang w:val="es-CO"/>
        </w:rPr>
        <w:lastRenderedPageBreak/>
        <w:t xml:space="preserve">En materia de economía colaborativa, pueden coexistir tantos modelos de negocio y esquemas de colaboración como empresas o iniciativas privadas existen.  En efecto, si bien la mayoría de ellos existen bajo esquemas basados en modelos puros de intermediación, en los cuales la Plataforma o </w:t>
      </w:r>
      <w:proofErr w:type="gramStart"/>
      <w:r w:rsidRPr="00443ACA">
        <w:rPr>
          <w:rFonts w:ascii="Palatino Linotype" w:hAnsi="Palatino Linotype"/>
          <w:bCs/>
          <w:sz w:val="23"/>
          <w:szCs w:val="23"/>
          <w:lang w:val="es-CO"/>
        </w:rPr>
        <w:t>app</w:t>
      </w:r>
      <w:proofErr w:type="gramEnd"/>
      <w:r w:rsidRPr="00443ACA">
        <w:rPr>
          <w:rFonts w:ascii="Palatino Linotype" w:hAnsi="Palatino Linotype"/>
          <w:bCs/>
          <w:sz w:val="23"/>
          <w:szCs w:val="23"/>
          <w:lang w:val="es-CO"/>
        </w:rPr>
        <w:t xml:space="preserve"> simplemente pone en contacto los dos extremos de un servicio o actividad económica, también se han desarrollado empresas “digitales” bajo esquemas colaborativos de asociatividad o cooperativismo, así como esquemas ya regulados por el derecho comercial.  </w:t>
      </w:r>
    </w:p>
    <w:p w14:paraId="6F337924" w14:textId="77777777" w:rsidR="00844D61" w:rsidRPr="00443ACA" w:rsidRDefault="00844D61" w:rsidP="00D96192">
      <w:pPr>
        <w:pStyle w:val="Sinespaciado"/>
        <w:jc w:val="both"/>
        <w:rPr>
          <w:rFonts w:ascii="Palatino Linotype" w:hAnsi="Palatino Linotype"/>
          <w:bCs/>
          <w:sz w:val="23"/>
          <w:szCs w:val="23"/>
          <w:lang w:val="es-CO"/>
        </w:rPr>
      </w:pPr>
    </w:p>
    <w:p w14:paraId="24BB4B39" w14:textId="77777777" w:rsidR="00844D61" w:rsidRPr="00443ACA" w:rsidRDefault="00844D61" w:rsidP="00D96192">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En el mismo sentido, el proyecto de ley parte de un principio erróneo sobre la manera en que se desarrollan las obligaciones contractuales entre las partes.  Es decir, en la definición de la relación se presupone que la plataforma subcontrata la prestación de un servicio con el “Trabajador digital”. Esto es incorrecto en la medida en que el actor encargado de proveer servicios es la empresa tecnológica, la cual provee un mero servicio a una actividad económica como el transporte, mensajería, comercio, etcétera. Incluso, ese esquema es el reconocido por la ley 1819 de 2016, que grava con IVA a los servicios digitales prestados desde el exterior, obligando a recaudar de los usuarios el monto correspondiente al servicio prestado por éstas a los “trabajadores digitales”. </w:t>
      </w:r>
    </w:p>
    <w:p w14:paraId="404187F9" w14:textId="77777777" w:rsidR="00844D61" w:rsidRPr="00443ACA" w:rsidRDefault="00844D61" w:rsidP="00D96192">
      <w:pPr>
        <w:pStyle w:val="Sinespaciado"/>
        <w:jc w:val="both"/>
        <w:rPr>
          <w:rFonts w:ascii="Palatino Linotype" w:hAnsi="Palatino Linotype"/>
          <w:b/>
          <w:bCs/>
          <w:sz w:val="23"/>
          <w:szCs w:val="23"/>
          <w:lang w:val="es-CO"/>
        </w:rPr>
      </w:pPr>
    </w:p>
    <w:p w14:paraId="2D0A3320" w14:textId="77777777" w:rsidR="00844D61" w:rsidRPr="00443ACA" w:rsidRDefault="00844D61" w:rsidP="00D96192">
      <w:pPr>
        <w:pStyle w:val="Sinespaciado"/>
        <w:jc w:val="both"/>
        <w:rPr>
          <w:rFonts w:ascii="Palatino Linotype" w:hAnsi="Palatino Linotype"/>
          <w:b/>
          <w:bCs/>
          <w:sz w:val="23"/>
          <w:szCs w:val="23"/>
          <w:lang w:val="es-CO"/>
        </w:rPr>
      </w:pPr>
      <w:r w:rsidRPr="00443ACA">
        <w:rPr>
          <w:rFonts w:ascii="Palatino Linotype" w:hAnsi="Palatino Linotype"/>
          <w:b/>
          <w:bCs/>
          <w:sz w:val="23"/>
          <w:szCs w:val="23"/>
          <w:lang w:val="es-CO"/>
        </w:rPr>
        <w:t xml:space="preserve">SEGUNDO COMENTARIO.   Definición de empresas de intermediación digital. </w:t>
      </w:r>
    </w:p>
    <w:p w14:paraId="7B581A07" w14:textId="77777777" w:rsidR="00844D61" w:rsidRPr="00443ACA" w:rsidRDefault="00844D61" w:rsidP="00D96192">
      <w:pPr>
        <w:pStyle w:val="Sinespaciado"/>
        <w:jc w:val="both"/>
        <w:rPr>
          <w:rFonts w:ascii="Palatino Linotype" w:hAnsi="Palatino Linotype"/>
          <w:b/>
          <w:bCs/>
          <w:sz w:val="23"/>
          <w:szCs w:val="23"/>
          <w:lang w:val="es-CO"/>
        </w:rPr>
      </w:pPr>
    </w:p>
    <w:p w14:paraId="1A88A215" w14:textId="6AC7C8C2" w:rsidR="00844D61" w:rsidRPr="00443ACA" w:rsidRDefault="00D96192" w:rsidP="00D96192">
      <w:pPr>
        <w:pStyle w:val="Sinespaciado"/>
        <w:jc w:val="both"/>
        <w:rPr>
          <w:rFonts w:ascii="Palatino Linotype" w:hAnsi="Palatino Linotype" w:cs="Calibri"/>
          <w:sz w:val="23"/>
          <w:szCs w:val="23"/>
          <w:lang w:val="es-CO"/>
        </w:rPr>
      </w:pPr>
      <w:r w:rsidRPr="00443ACA">
        <w:rPr>
          <w:rFonts w:ascii="Palatino Linotype" w:hAnsi="Palatino Linotype"/>
          <w:bCs/>
          <w:sz w:val="23"/>
          <w:szCs w:val="23"/>
          <w:lang w:val="es-CO"/>
        </w:rPr>
        <w:t xml:space="preserve">En cuanto a la definición presentada en el proyecto de ley sobre las empresas de intermediación digital, </w:t>
      </w:r>
      <w:r w:rsidRPr="00443ACA">
        <w:rPr>
          <w:rFonts w:ascii="Palatino Linotype" w:hAnsi="Palatino Linotype" w:cs="Calibri"/>
          <w:sz w:val="23"/>
          <w:szCs w:val="23"/>
          <w:lang w:val="es-CO"/>
        </w:rPr>
        <w:t xml:space="preserve">ésta </w:t>
      </w:r>
      <w:r w:rsidR="00844D61" w:rsidRPr="00443ACA">
        <w:rPr>
          <w:rFonts w:ascii="Palatino Linotype" w:hAnsi="Palatino Linotype" w:cs="Calibri"/>
          <w:sz w:val="23"/>
          <w:szCs w:val="23"/>
          <w:lang w:val="es-CO"/>
        </w:rPr>
        <w:t>es excesivamente amplia y como está redactada, incluye cualquier actividad o negocio realizado por internet. En efecto, todo negocio realizado en internet incluyendo páginas web informativas, institucionales, avisos clasificados, portales de contacto, páginas web gubernamentales, periódicos, aplicaciones de juegos, juegos de video etc. son actividades “realizadas por personas jurídicas cuyo objeto social sea realizado por conducto de aplicaciones móviles o plataformas tecnológicas y a través de personas naturales”.  En este sentido, es necesario buscar una definición específica para lo que busca el proyecto de ley, so pena de estar regulando todas las actividades que se realizan a través de una aplicación móvil o plataforma.</w:t>
      </w:r>
    </w:p>
    <w:p w14:paraId="06BEBA14" w14:textId="77777777" w:rsidR="00844D61" w:rsidRPr="00443ACA" w:rsidRDefault="00844D61" w:rsidP="00D96192">
      <w:pPr>
        <w:widowControl w:val="0"/>
        <w:autoSpaceDE w:val="0"/>
        <w:autoSpaceDN w:val="0"/>
        <w:adjustRightInd w:val="0"/>
        <w:spacing w:line="288" w:lineRule="auto"/>
        <w:jc w:val="both"/>
        <w:rPr>
          <w:rFonts w:ascii="Palatino Linotype" w:hAnsi="Palatino Linotype" w:cs="Calibri"/>
          <w:sz w:val="23"/>
          <w:szCs w:val="23"/>
          <w:lang w:val="es-CO"/>
        </w:rPr>
      </w:pPr>
    </w:p>
    <w:p w14:paraId="5DF53874" w14:textId="77777777" w:rsidR="00844D61" w:rsidRPr="00443ACA" w:rsidRDefault="00844D61" w:rsidP="00D96192">
      <w:pPr>
        <w:pStyle w:val="Sinespaciado"/>
        <w:jc w:val="both"/>
        <w:rPr>
          <w:rFonts w:ascii="Palatino Linotype" w:hAnsi="Palatino Linotype"/>
          <w:b/>
          <w:sz w:val="23"/>
          <w:szCs w:val="23"/>
          <w:lang w:val="es-CO"/>
        </w:rPr>
      </w:pPr>
      <w:r w:rsidRPr="00443ACA">
        <w:rPr>
          <w:rFonts w:ascii="Palatino Linotype" w:hAnsi="Palatino Linotype"/>
          <w:b/>
          <w:sz w:val="23"/>
          <w:szCs w:val="23"/>
          <w:lang w:val="es-CO"/>
        </w:rPr>
        <w:t>TERCER COMENTARIO.  Definición de trabajador digital.</w:t>
      </w:r>
    </w:p>
    <w:p w14:paraId="238393E8" w14:textId="77777777" w:rsidR="00844D61" w:rsidRPr="00443ACA" w:rsidRDefault="00844D61" w:rsidP="00D96192">
      <w:pPr>
        <w:pStyle w:val="Sinespaciado"/>
        <w:jc w:val="both"/>
        <w:rPr>
          <w:rFonts w:ascii="Palatino Linotype" w:hAnsi="Palatino Linotype" w:cstheme="minorBidi"/>
          <w:sz w:val="23"/>
          <w:szCs w:val="23"/>
          <w:lang w:val="es-CO"/>
        </w:rPr>
      </w:pPr>
    </w:p>
    <w:p w14:paraId="660C0578" w14:textId="6FDA1B94" w:rsidR="00844D61" w:rsidRPr="00443ACA" w:rsidRDefault="00D96192" w:rsidP="00D96192">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Frente a la definición de Trabajador Digital del proyecto de ley, es importante </w:t>
      </w:r>
      <w:r w:rsidR="00844D61" w:rsidRPr="00443ACA">
        <w:rPr>
          <w:rFonts w:ascii="Palatino Linotype" w:hAnsi="Palatino Linotype"/>
          <w:sz w:val="23"/>
          <w:szCs w:val="23"/>
          <w:lang w:val="es-CO"/>
        </w:rPr>
        <w:t xml:space="preserve">mencionar que los términos utilizados son equívocos y conllevan a confusión.  La sola definición de la persona natural que presta el servicio como “trabajador”, generaría contradicción considerando que en el artículo siguiente del proyecto de ley se menciona que dicha relación sustancial no se considerará un contrato de trabajo.   Es decir, si se excluye la existencia de un contrato de trabajo, por no contar con los elementos para ello, no tiene sentido definirlo como “trabajador” digital. </w:t>
      </w:r>
    </w:p>
    <w:p w14:paraId="763AAB9A" w14:textId="77777777" w:rsidR="00844D61" w:rsidRPr="00443ACA" w:rsidRDefault="00844D61" w:rsidP="00D96192">
      <w:pPr>
        <w:pStyle w:val="Sinespaciado"/>
        <w:jc w:val="both"/>
        <w:rPr>
          <w:rFonts w:ascii="Palatino Linotype" w:hAnsi="Palatino Linotype"/>
          <w:sz w:val="23"/>
          <w:szCs w:val="23"/>
          <w:lang w:val="es-CO"/>
        </w:rPr>
      </w:pPr>
    </w:p>
    <w:p w14:paraId="43D61913" w14:textId="1D60E884" w:rsidR="00844D61" w:rsidRPr="00443ACA" w:rsidRDefault="00844D61" w:rsidP="00D96192">
      <w:pPr>
        <w:pStyle w:val="Sinespaciado"/>
        <w:jc w:val="both"/>
        <w:rPr>
          <w:rFonts w:ascii="Palatino Linotype" w:hAnsi="Palatino Linotype"/>
          <w:sz w:val="23"/>
          <w:szCs w:val="23"/>
        </w:rPr>
      </w:pPr>
      <w:r w:rsidRPr="00443ACA">
        <w:rPr>
          <w:sz w:val="23"/>
          <w:szCs w:val="23"/>
          <w:lang w:val="es-CO"/>
        </w:rPr>
        <w:t xml:space="preserve">Por otra parte, la calidad de “trabajador digital” se encuentra supeditada al hecho de tener por lo menos un ingreso mensual de dos (2) salarios mínimos legales mensuales vigentes derivado de la actividad económica y profesional de la aplicación móvil o plataforma tecnológica. Es preciso tener en cuenta que, bajo este criterio, la dependencia económica </w:t>
      </w:r>
      <w:r w:rsidRPr="00443ACA">
        <w:rPr>
          <w:sz w:val="23"/>
          <w:szCs w:val="23"/>
          <w:lang w:val="es-CO"/>
        </w:rPr>
        <w:lastRenderedPageBreak/>
        <w:t xml:space="preserve">no podrá ser medible, en tanto que no se tiene claro qué porcentaje del ingreso proviene del mismo cliente para así determinar dicha dependencia, ni existe una relación de causalidad entre la cantidad percibida y su origen.  En otras palabras, la concepción de ingresos es equivocada en la medida en que el ingreso no es generado por la empresa de intermediación digital sino por la actividad económica que se ofrece a través de ella (Mensajería, transporte, comercio, servicios, </w:t>
      </w:r>
      <w:proofErr w:type="spellStart"/>
      <w:r w:rsidRPr="00443ACA">
        <w:rPr>
          <w:sz w:val="23"/>
          <w:szCs w:val="23"/>
          <w:lang w:val="es-CO"/>
        </w:rPr>
        <w:t>etc</w:t>
      </w:r>
      <w:proofErr w:type="spellEnd"/>
      <w:r w:rsidRPr="00443ACA">
        <w:rPr>
          <w:sz w:val="23"/>
          <w:szCs w:val="23"/>
          <w:lang w:val="es-CO"/>
        </w:rPr>
        <w:t xml:space="preserve">), siendo el servicio prestado por el afiliado a la plataforma y no lo contrario. </w:t>
      </w:r>
    </w:p>
    <w:p w14:paraId="078CB790" w14:textId="77777777" w:rsidR="00844D61" w:rsidRPr="00443ACA" w:rsidRDefault="00844D61" w:rsidP="00D96192">
      <w:pPr>
        <w:pStyle w:val="Sinespaciado"/>
        <w:jc w:val="both"/>
        <w:rPr>
          <w:rFonts w:ascii="Palatino Linotype" w:hAnsi="Palatino Linotype"/>
          <w:sz w:val="23"/>
          <w:szCs w:val="23"/>
        </w:rPr>
      </w:pPr>
    </w:p>
    <w:p w14:paraId="3C6AB1A1" w14:textId="77777777" w:rsidR="00844D61" w:rsidRPr="00443ACA" w:rsidRDefault="00844D61" w:rsidP="00D96192">
      <w:pPr>
        <w:pStyle w:val="Sinespaciado"/>
        <w:jc w:val="both"/>
        <w:rPr>
          <w:rFonts w:ascii="Palatino Linotype" w:hAnsi="Palatino Linotype"/>
          <w:b/>
          <w:sz w:val="23"/>
          <w:szCs w:val="23"/>
          <w:lang w:val="es-CO"/>
        </w:rPr>
      </w:pPr>
      <w:r w:rsidRPr="00443ACA">
        <w:rPr>
          <w:rFonts w:ascii="Palatino Linotype" w:hAnsi="Palatino Linotype"/>
          <w:b/>
          <w:sz w:val="23"/>
          <w:szCs w:val="23"/>
          <w:lang w:val="es-CO"/>
        </w:rPr>
        <w:t xml:space="preserve">CUARTO COMENTARIO.  Principios de la relación sustantiva. </w:t>
      </w:r>
    </w:p>
    <w:p w14:paraId="642D4EAB" w14:textId="77777777" w:rsidR="00844D61" w:rsidRPr="00443ACA" w:rsidRDefault="00844D61" w:rsidP="00D96192">
      <w:pPr>
        <w:pStyle w:val="Sinespaciado"/>
        <w:jc w:val="both"/>
        <w:rPr>
          <w:rFonts w:ascii="Palatino Linotype" w:hAnsi="Palatino Linotype"/>
          <w:sz w:val="23"/>
          <w:szCs w:val="23"/>
          <w:lang w:val="es-CO"/>
        </w:rPr>
      </w:pPr>
    </w:p>
    <w:p w14:paraId="392FE684" w14:textId="77777777" w:rsidR="00844D61" w:rsidRPr="00443ACA" w:rsidRDefault="00844D61" w:rsidP="00D96192">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El artículo cuarto del proyecto de ley propone la creación de una categoría intermedia entre el contrato de trabajo y la relación comercial derivada de un contrato de prestación de servicios. </w:t>
      </w:r>
    </w:p>
    <w:p w14:paraId="7BB9272D" w14:textId="77777777" w:rsidR="00844D61" w:rsidRPr="00443ACA" w:rsidRDefault="00844D61" w:rsidP="00D96192">
      <w:pPr>
        <w:pStyle w:val="Sinespaciado"/>
        <w:jc w:val="both"/>
        <w:rPr>
          <w:rFonts w:ascii="Palatino Linotype" w:hAnsi="Palatino Linotype"/>
          <w:sz w:val="23"/>
          <w:szCs w:val="23"/>
          <w:lang w:val="es-CO"/>
        </w:rPr>
      </w:pPr>
    </w:p>
    <w:p w14:paraId="0920D52C" w14:textId="7A2B5E5F" w:rsidR="00844D61" w:rsidRPr="00443ACA" w:rsidRDefault="00844D61" w:rsidP="00D96192">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Dicha afirmación desnaturaliza la relación jurídica existente, en la medida </w:t>
      </w:r>
      <w:proofErr w:type="gramStart"/>
      <w:r w:rsidRPr="00443ACA">
        <w:rPr>
          <w:rFonts w:ascii="Palatino Linotype" w:hAnsi="Palatino Linotype"/>
          <w:sz w:val="23"/>
          <w:szCs w:val="23"/>
          <w:lang w:val="es-CO"/>
        </w:rPr>
        <w:t>que</w:t>
      </w:r>
      <w:r w:rsidR="00DD099C" w:rsidRPr="00443ACA">
        <w:rPr>
          <w:rFonts w:ascii="Palatino Linotype" w:hAnsi="Palatino Linotype"/>
          <w:sz w:val="23"/>
          <w:szCs w:val="23"/>
          <w:lang w:val="es-CO"/>
        </w:rPr>
        <w:t xml:space="preserve"> </w:t>
      </w:r>
      <w:r w:rsidRPr="00443ACA">
        <w:rPr>
          <w:rFonts w:ascii="Palatino Linotype" w:hAnsi="Palatino Linotype"/>
          <w:sz w:val="23"/>
          <w:szCs w:val="23"/>
          <w:lang w:val="es-CO"/>
        </w:rPr>
        <w:t xml:space="preserve"> el</w:t>
      </w:r>
      <w:proofErr w:type="gramEnd"/>
      <w:r w:rsidRPr="00443ACA">
        <w:rPr>
          <w:rFonts w:ascii="Palatino Linotype" w:hAnsi="Palatino Linotype"/>
          <w:sz w:val="23"/>
          <w:szCs w:val="23"/>
          <w:lang w:val="es-CO"/>
        </w:rPr>
        <w:t xml:space="preserve"> hecho de que esta relación se caracterice por la dependencia económica, no muta su naturaleza jurídica.  Es claro que, por el solo hecho que el servicio o actividad se preste, con la intermediación de una plataforma tecnológica, ello no le confiere per se una característica o condición especial, que permita asimilarlo, a un contrato de trabajo ni tampoco a una figura intermedia, pues en todo caso carece de cualquier elemento propio de un contrato de naturaleza laboral.</w:t>
      </w:r>
    </w:p>
    <w:p w14:paraId="4B9EBB25" w14:textId="77777777" w:rsidR="00844D61" w:rsidRPr="00443ACA" w:rsidRDefault="00844D61" w:rsidP="00D96192">
      <w:pPr>
        <w:pStyle w:val="Sinespaciado"/>
        <w:jc w:val="both"/>
        <w:rPr>
          <w:rFonts w:ascii="Palatino Linotype" w:hAnsi="Palatino Linotype"/>
          <w:sz w:val="23"/>
          <w:szCs w:val="23"/>
          <w:lang w:val="es-CO"/>
        </w:rPr>
      </w:pPr>
    </w:p>
    <w:p w14:paraId="237E6331" w14:textId="77777777" w:rsidR="00844D61" w:rsidRPr="00443ACA" w:rsidRDefault="00844D61" w:rsidP="00D96192">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Se crea un híbrido, a nuestro juicio inconstitucional, entre las relaciones laborales y las relaciones comerciales.  Dicha mezcla genera inseguridad jurídica, en detrimento no tanto de la plataforma tecnológica, sino de la persona natural que desarrolla la actividad.</w:t>
      </w:r>
    </w:p>
    <w:p w14:paraId="42B02618" w14:textId="77777777" w:rsidR="00844D61" w:rsidRPr="00443ACA" w:rsidRDefault="00844D61" w:rsidP="00D96192">
      <w:pPr>
        <w:pStyle w:val="Sinespaciado"/>
        <w:jc w:val="both"/>
        <w:rPr>
          <w:rFonts w:ascii="Palatino Linotype" w:hAnsi="Palatino Linotype"/>
          <w:sz w:val="23"/>
          <w:szCs w:val="23"/>
          <w:lang w:val="es-CO"/>
        </w:rPr>
      </w:pPr>
    </w:p>
    <w:p w14:paraId="7AB231A5" w14:textId="77777777" w:rsidR="00844D61" w:rsidRPr="00443ACA" w:rsidRDefault="00844D61" w:rsidP="00D96192">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Atenta directamente contra el modelo de economía colaborativa que parte del supuesto de que diferentes actores en el mercado comparten e intercambian bienes y servicios a través de plataformas digitales. Si enmarcamos ahora la relación entre las plataformas digitales y los proveedores de los servicios como una relación de naturaleza laboral, inmediatamente volvemos al modelo tradicional económico (jerárquico y no colaborativo) y nos alejamos de las posibilidades, ventajas y beneficios de la economía colaborativa. </w:t>
      </w:r>
    </w:p>
    <w:p w14:paraId="2127795C" w14:textId="77777777" w:rsidR="00844D61" w:rsidRPr="00443ACA" w:rsidRDefault="00844D61" w:rsidP="00DD099C">
      <w:pPr>
        <w:pStyle w:val="Sinespaciado"/>
        <w:jc w:val="both"/>
        <w:rPr>
          <w:rFonts w:ascii="Palatino Linotype" w:hAnsi="Palatino Linotype"/>
          <w:sz w:val="23"/>
          <w:szCs w:val="23"/>
          <w:lang w:val="es-CO"/>
        </w:rPr>
      </w:pPr>
    </w:p>
    <w:p w14:paraId="02677FFD" w14:textId="77777777" w:rsidR="00844D61" w:rsidRPr="00443ACA" w:rsidRDefault="00844D61" w:rsidP="00DD099C">
      <w:pPr>
        <w:pStyle w:val="Sinespaciado"/>
        <w:jc w:val="both"/>
        <w:rPr>
          <w:rFonts w:ascii="Palatino Linotype" w:hAnsi="Palatino Linotype"/>
          <w:b/>
          <w:sz w:val="23"/>
          <w:szCs w:val="23"/>
          <w:lang w:val="es-CO"/>
        </w:rPr>
      </w:pPr>
      <w:r w:rsidRPr="00443ACA">
        <w:rPr>
          <w:rFonts w:ascii="Palatino Linotype" w:hAnsi="Palatino Linotype"/>
          <w:b/>
          <w:sz w:val="23"/>
          <w:szCs w:val="23"/>
          <w:lang w:val="es-CO"/>
        </w:rPr>
        <w:t xml:space="preserve">QUINTO COMENTARIO.  Aportes al Sistema de Seguridad Social del trabajador digital. </w:t>
      </w:r>
    </w:p>
    <w:p w14:paraId="57A5BDEA" w14:textId="77777777" w:rsidR="00844D61" w:rsidRPr="00443ACA" w:rsidRDefault="00844D61" w:rsidP="00DD099C">
      <w:pPr>
        <w:pStyle w:val="Sinespaciado"/>
        <w:jc w:val="both"/>
        <w:rPr>
          <w:rFonts w:ascii="Palatino Linotype" w:hAnsi="Palatino Linotype"/>
          <w:sz w:val="23"/>
          <w:szCs w:val="23"/>
          <w:lang w:val="es-CO"/>
        </w:rPr>
      </w:pPr>
    </w:p>
    <w:p w14:paraId="0C738BE9" w14:textId="77777777" w:rsidR="00844D61" w:rsidRPr="00443ACA" w:rsidRDefault="00844D61" w:rsidP="00DD099C">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El proyecto de ley establece en su artículo 6, que los aportes serán asumidos de forma equivalente entre la plataforma y el trabajador digital, remitiendo, para la afiliación y el pago, a las normas generales establecidas para el Sistema General de Seguridad Social. </w:t>
      </w:r>
    </w:p>
    <w:p w14:paraId="47CB2237" w14:textId="77777777" w:rsidR="00844D61" w:rsidRPr="00443ACA" w:rsidRDefault="00844D61" w:rsidP="00DD099C">
      <w:pPr>
        <w:pStyle w:val="Sinespaciado"/>
        <w:jc w:val="both"/>
        <w:rPr>
          <w:rFonts w:ascii="Palatino Linotype" w:hAnsi="Palatino Linotype"/>
          <w:sz w:val="23"/>
          <w:szCs w:val="23"/>
          <w:lang w:val="es-CO"/>
        </w:rPr>
      </w:pPr>
    </w:p>
    <w:p w14:paraId="63047457" w14:textId="77777777" w:rsidR="00844D61" w:rsidRPr="00443ACA" w:rsidRDefault="00844D61" w:rsidP="00DD099C">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Al respecto, los siguientes comentarios: </w:t>
      </w:r>
    </w:p>
    <w:p w14:paraId="3CF01AC7" w14:textId="77777777" w:rsidR="00844D61" w:rsidRPr="00443ACA" w:rsidRDefault="00844D61" w:rsidP="00DD099C">
      <w:pPr>
        <w:pStyle w:val="Sinespaciado"/>
        <w:jc w:val="both"/>
        <w:rPr>
          <w:rFonts w:ascii="Palatino Linotype" w:hAnsi="Palatino Linotype"/>
          <w:sz w:val="23"/>
          <w:szCs w:val="23"/>
          <w:lang w:val="es-CO"/>
        </w:rPr>
      </w:pPr>
    </w:p>
    <w:p w14:paraId="624010B8" w14:textId="77777777" w:rsidR="00844D61" w:rsidRPr="00443ACA" w:rsidRDefault="00844D61" w:rsidP="00DD099C">
      <w:pPr>
        <w:pStyle w:val="Sinespaciado"/>
        <w:numPr>
          <w:ilvl w:val="0"/>
          <w:numId w:val="18"/>
        </w:numPr>
        <w:jc w:val="both"/>
        <w:rPr>
          <w:rFonts w:ascii="Palatino Linotype" w:hAnsi="Palatino Linotype"/>
          <w:sz w:val="23"/>
          <w:szCs w:val="23"/>
          <w:lang w:val="es-CO"/>
        </w:rPr>
      </w:pPr>
      <w:r w:rsidRPr="00443ACA">
        <w:rPr>
          <w:rFonts w:ascii="Palatino Linotype" w:hAnsi="Palatino Linotype"/>
          <w:sz w:val="23"/>
          <w:szCs w:val="23"/>
          <w:lang w:val="es-CO"/>
        </w:rPr>
        <w:t xml:space="preserve">De nuevo, en este artículo se parte de la equivocada creencia que los “trabajadores” prestan servicios a la plataforma, y no que las empresas son los intermediarios. </w:t>
      </w:r>
    </w:p>
    <w:p w14:paraId="4ECE472C" w14:textId="77777777" w:rsidR="00844D61" w:rsidRPr="00443ACA" w:rsidRDefault="00844D61" w:rsidP="00DD099C">
      <w:pPr>
        <w:pStyle w:val="Sinespaciado"/>
        <w:jc w:val="both"/>
        <w:rPr>
          <w:rFonts w:ascii="Palatino Linotype" w:hAnsi="Palatino Linotype"/>
          <w:sz w:val="23"/>
          <w:szCs w:val="23"/>
          <w:lang w:val="es-CO"/>
        </w:rPr>
      </w:pPr>
    </w:p>
    <w:p w14:paraId="5A8D4524" w14:textId="77777777" w:rsidR="00844D61" w:rsidRPr="00443ACA" w:rsidRDefault="00844D61" w:rsidP="00DD099C">
      <w:pPr>
        <w:pStyle w:val="Sinespaciado"/>
        <w:numPr>
          <w:ilvl w:val="0"/>
          <w:numId w:val="18"/>
        </w:numPr>
        <w:jc w:val="both"/>
        <w:rPr>
          <w:rFonts w:ascii="Palatino Linotype" w:hAnsi="Palatino Linotype"/>
          <w:b/>
          <w:bCs/>
          <w:sz w:val="23"/>
          <w:szCs w:val="23"/>
          <w:lang w:val="es-CO"/>
        </w:rPr>
      </w:pPr>
      <w:r w:rsidRPr="00443ACA">
        <w:rPr>
          <w:rFonts w:ascii="Palatino Linotype" w:hAnsi="Palatino Linotype"/>
          <w:bCs/>
          <w:sz w:val="23"/>
          <w:szCs w:val="23"/>
          <w:lang w:val="es-CO"/>
        </w:rPr>
        <w:lastRenderedPageBreak/>
        <w:t xml:space="preserve">La responsabilidad de verificar el registro, inscripción y cotización de un trabajador independiente, o que realice actividades por cuenta propia, debe ser de la UNIDAD DE GESTIÓN PENSIONAL Y PARAFISCALES (UGPP), entidad del orden público central, que tiene como función, el vigilar y sancionar las conductas que puedan considerarse evasivas en materia de Seguridad Social. </w:t>
      </w:r>
    </w:p>
    <w:p w14:paraId="78A24DF7" w14:textId="77777777" w:rsidR="00844D61" w:rsidRPr="00443ACA" w:rsidRDefault="00844D61" w:rsidP="00DD099C">
      <w:pPr>
        <w:pStyle w:val="Sinespaciado"/>
        <w:jc w:val="both"/>
        <w:rPr>
          <w:rFonts w:ascii="Palatino Linotype" w:hAnsi="Palatino Linotype"/>
          <w:b/>
          <w:bCs/>
          <w:sz w:val="23"/>
          <w:szCs w:val="23"/>
          <w:lang w:val="es-CO"/>
        </w:rPr>
      </w:pPr>
    </w:p>
    <w:p w14:paraId="0595FF69" w14:textId="77777777" w:rsidR="00844D61" w:rsidRPr="00443ACA" w:rsidRDefault="00844D61" w:rsidP="00DD099C">
      <w:pPr>
        <w:pStyle w:val="Sinespaciado"/>
        <w:numPr>
          <w:ilvl w:val="0"/>
          <w:numId w:val="18"/>
        </w:numPr>
        <w:jc w:val="both"/>
        <w:rPr>
          <w:rFonts w:ascii="Palatino Linotype" w:hAnsi="Palatino Linotype"/>
          <w:b/>
          <w:bCs/>
          <w:sz w:val="23"/>
          <w:szCs w:val="23"/>
          <w:lang w:val="es-CO"/>
        </w:rPr>
      </w:pPr>
      <w:r w:rsidRPr="00443ACA">
        <w:rPr>
          <w:rFonts w:ascii="Palatino Linotype" w:hAnsi="Palatino Linotype"/>
          <w:bCs/>
          <w:sz w:val="23"/>
          <w:szCs w:val="23"/>
          <w:lang w:val="es-CO"/>
        </w:rPr>
        <w:t>La responsabilidad de pago de la Seguridad Social de un trabajador independiente o que realice actividades por cuenta propia, es del trabajador, razón por la cual no es acertado que exista solidaridad o corresponsabilidad en el pago, por parte de la empresa de economía digital.</w:t>
      </w:r>
    </w:p>
    <w:p w14:paraId="66740A3A" w14:textId="678B769A" w:rsidR="00844D61" w:rsidRPr="00443ACA" w:rsidRDefault="00844D61" w:rsidP="00DD099C">
      <w:pPr>
        <w:pStyle w:val="Sinespaciado"/>
        <w:ind w:firstLine="60"/>
        <w:jc w:val="both"/>
        <w:rPr>
          <w:rFonts w:ascii="Palatino Linotype" w:hAnsi="Palatino Linotype"/>
          <w:b/>
          <w:bCs/>
          <w:sz w:val="23"/>
          <w:szCs w:val="23"/>
          <w:lang w:val="es-CO"/>
        </w:rPr>
      </w:pPr>
    </w:p>
    <w:p w14:paraId="0CB93DEC" w14:textId="77777777" w:rsidR="00844D61" w:rsidRPr="00443ACA" w:rsidRDefault="00844D61" w:rsidP="00DD099C">
      <w:pPr>
        <w:pStyle w:val="Sinespaciado"/>
        <w:numPr>
          <w:ilvl w:val="0"/>
          <w:numId w:val="18"/>
        </w:numPr>
        <w:jc w:val="both"/>
        <w:rPr>
          <w:rFonts w:ascii="Palatino Linotype" w:hAnsi="Palatino Linotype"/>
          <w:b/>
          <w:bCs/>
          <w:sz w:val="23"/>
          <w:szCs w:val="23"/>
          <w:lang w:val="es-CO"/>
        </w:rPr>
      </w:pPr>
      <w:r w:rsidRPr="00443ACA">
        <w:rPr>
          <w:rFonts w:ascii="Palatino Linotype" w:hAnsi="Palatino Linotype"/>
          <w:i/>
          <w:sz w:val="23"/>
          <w:szCs w:val="23"/>
          <w:lang w:val="es-CO"/>
        </w:rPr>
        <w:t>Si bien el pr</w:t>
      </w:r>
      <w:r w:rsidRPr="00443ACA">
        <w:rPr>
          <w:rFonts w:ascii="Palatino Linotype" w:hAnsi="Palatino Linotype"/>
          <w:sz w:val="23"/>
          <w:szCs w:val="23"/>
          <w:lang w:val="es-CO"/>
        </w:rPr>
        <w:t>oyecto aclara que este tipo de trabajadores autónomos deberá afiliarse al sistema como cotizante, no aclara si se va a hacer a través de la categoría de dependiente o independiente. Si bien entendemos que existe una remisión, no se define en específico el régimen aplicable ni se determinan las proporciones de la cotización.</w:t>
      </w:r>
    </w:p>
    <w:p w14:paraId="39893AF6" w14:textId="77777777" w:rsidR="00844D61" w:rsidRPr="00443ACA" w:rsidRDefault="00844D61" w:rsidP="00443ACA">
      <w:pPr>
        <w:pStyle w:val="Sinespaciado"/>
        <w:jc w:val="both"/>
        <w:rPr>
          <w:rFonts w:ascii="Palatino Linotype" w:hAnsi="Palatino Linotype"/>
          <w:sz w:val="23"/>
          <w:szCs w:val="23"/>
          <w:lang w:val="es-CO"/>
        </w:rPr>
      </w:pPr>
    </w:p>
    <w:p w14:paraId="60A7B9FE" w14:textId="77777777" w:rsidR="00844D61" w:rsidRPr="00443ACA" w:rsidRDefault="00844D61" w:rsidP="00443ACA">
      <w:pPr>
        <w:pStyle w:val="Sinespaciado"/>
        <w:jc w:val="both"/>
        <w:rPr>
          <w:rFonts w:ascii="Palatino Linotype" w:hAnsi="Palatino Linotype"/>
          <w:b/>
          <w:sz w:val="23"/>
          <w:szCs w:val="23"/>
          <w:lang w:val="es-CO"/>
        </w:rPr>
      </w:pPr>
      <w:r w:rsidRPr="00443ACA">
        <w:rPr>
          <w:rFonts w:ascii="Palatino Linotype" w:hAnsi="Palatino Linotype"/>
          <w:b/>
          <w:sz w:val="23"/>
          <w:szCs w:val="23"/>
          <w:lang w:val="es-CO"/>
        </w:rPr>
        <w:t xml:space="preserve">SEXTO COMENTARIO.  Trámite legislativo debe corresponder a Ley Estatutaria. </w:t>
      </w:r>
    </w:p>
    <w:p w14:paraId="1D97422E" w14:textId="77777777" w:rsidR="00844D61" w:rsidRPr="00443ACA" w:rsidRDefault="00844D61" w:rsidP="00443ACA">
      <w:pPr>
        <w:pStyle w:val="Sinespaciado"/>
        <w:jc w:val="both"/>
        <w:rPr>
          <w:rFonts w:ascii="Palatino Linotype" w:eastAsia="Times New Roman" w:hAnsi="Palatino Linotype" w:cs="Times New Roman"/>
          <w:sz w:val="23"/>
          <w:szCs w:val="23"/>
          <w:shd w:val="clear" w:color="auto" w:fill="FFFFFF"/>
          <w:lang w:val="es-CO"/>
        </w:rPr>
      </w:pPr>
    </w:p>
    <w:p w14:paraId="4ED2B0AF" w14:textId="12D143BA" w:rsidR="00844D61" w:rsidRPr="00443ACA" w:rsidRDefault="00844D61" w:rsidP="00443ACA">
      <w:pPr>
        <w:pStyle w:val="Sinespaciado"/>
        <w:jc w:val="both"/>
        <w:rPr>
          <w:rFonts w:ascii="Palatino Linotype" w:eastAsia="Times New Roman" w:hAnsi="Palatino Linotype" w:cs="Times New Roman"/>
          <w:sz w:val="23"/>
          <w:szCs w:val="23"/>
          <w:shd w:val="clear" w:color="auto" w:fill="FFFFFF"/>
          <w:lang w:val="es-CO"/>
        </w:rPr>
      </w:pPr>
      <w:r w:rsidRPr="00443ACA">
        <w:rPr>
          <w:rFonts w:ascii="Palatino Linotype" w:eastAsia="Times New Roman" w:hAnsi="Palatino Linotype" w:cs="Times New Roman"/>
          <w:sz w:val="23"/>
          <w:szCs w:val="23"/>
          <w:shd w:val="clear" w:color="auto" w:fill="FFFFFF"/>
          <w:lang w:val="es-CO"/>
        </w:rPr>
        <w:t>De acuerdo con el literal a) del artículo 152 de la Constitución Política, debe regularse mediante leyes estatutarias, entre otros temas, los relacionados con </w:t>
      </w:r>
      <w:r w:rsidRPr="00443ACA">
        <w:rPr>
          <w:rFonts w:ascii="Palatino Linotype" w:eastAsia="Times New Roman" w:hAnsi="Palatino Linotype" w:cs="Times New Roman"/>
          <w:i/>
          <w:sz w:val="23"/>
          <w:szCs w:val="23"/>
          <w:shd w:val="clear" w:color="auto" w:fill="FFFFFF"/>
          <w:lang w:val="es-CO"/>
        </w:rPr>
        <w:t>“Derechos y deberes fundamentales de las personas y los procedimientos y recursos para su protección”</w:t>
      </w:r>
      <w:r w:rsidRPr="00443ACA">
        <w:rPr>
          <w:rFonts w:ascii="Palatino Linotype" w:eastAsia="Times New Roman" w:hAnsi="Palatino Linotype" w:cs="Times New Roman"/>
          <w:sz w:val="23"/>
          <w:szCs w:val="23"/>
          <w:shd w:val="clear" w:color="auto" w:fill="FFFFFF"/>
          <w:lang w:val="es-CO"/>
        </w:rPr>
        <w:t>.</w:t>
      </w:r>
    </w:p>
    <w:p w14:paraId="03D0F87A" w14:textId="77777777" w:rsidR="00844D61" w:rsidRPr="00443ACA" w:rsidRDefault="00844D61" w:rsidP="00443ACA">
      <w:pPr>
        <w:pStyle w:val="Sinespaciado"/>
        <w:jc w:val="both"/>
        <w:rPr>
          <w:rFonts w:ascii="Palatino Linotype" w:eastAsia="Times New Roman" w:hAnsi="Palatino Linotype" w:cs="Times New Roman"/>
          <w:sz w:val="23"/>
          <w:szCs w:val="23"/>
          <w:shd w:val="clear" w:color="auto" w:fill="FFFFFF"/>
          <w:lang w:val="es-CO"/>
        </w:rPr>
      </w:pPr>
    </w:p>
    <w:p w14:paraId="02D91E11" w14:textId="77777777" w:rsidR="00844D61" w:rsidRPr="00443ACA" w:rsidRDefault="00844D61" w:rsidP="00443ACA">
      <w:pPr>
        <w:pStyle w:val="Sinespaciado"/>
        <w:jc w:val="both"/>
        <w:rPr>
          <w:rFonts w:ascii="Palatino Linotype" w:eastAsia="Times New Roman" w:hAnsi="Palatino Linotype" w:cs="Times New Roman"/>
          <w:sz w:val="23"/>
          <w:szCs w:val="23"/>
          <w:shd w:val="clear" w:color="auto" w:fill="FFFFFF"/>
          <w:lang w:val="es-CO"/>
        </w:rPr>
      </w:pPr>
      <w:r w:rsidRPr="00443ACA">
        <w:rPr>
          <w:rFonts w:ascii="Palatino Linotype" w:eastAsia="Times New Roman" w:hAnsi="Palatino Linotype" w:cs="Times New Roman"/>
          <w:sz w:val="23"/>
          <w:szCs w:val="23"/>
          <w:shd w:val="clear" w:color="auto" w:fill="FFFFFF"/>
          <w:lang w:val="es-CO"/>
        </w:rPr>
        <w:t xml:space="preserve">En ese sentido, toda vez que esta ley está regulando varios derechos fundamentales, entre ellos el derecho fundamental al trabajo, el derecho fundamental a la seguridad social de determinado sector de la población y derecho fundamental de asociación, debe ser objeto de regulación vía ley estatutaria. </w:t>
      </w:r>
    </w:p>
    <w:p w14:paraId="5E631910" w14:textId="77777777" w:rsidR="00844D61" w:rsidRPr="00443ACA" w:rsidRDefault="00844D61" w:rsidP="00443ACA">
      <w:pPr>
        <w:pStyle w:val="Sinespaciado"/>
        <w:jc w:val="both"/>
        <w:rPr>
          <w:rFonts w:ascii="Palatino Linotype" w:eastAsia="Times New Roman" w:hAnsi="Palatino Linotype" w:cs="Times New Roman"/>
          <w:sz w:val="23"/>
          <w:szCs w:val="23"/>
          <w:shd w:val="clear" w:color="auto" w:fill="FFFFFF"/>
          <w:lang w:val="es-CO"/>
        </w:rPr>
      </w:pPr>
    </w:p>
    <w:p w14:paraId="1AC55F12" w14:textId="77777777" w:rsidR="00844D61" w:rsidRPr="00443ACA" w:rsidRDefault="00844D61" w:rsidP="00443ACA">
      <w:pPr>
        <w:pStyle w:val="Sinespaciado"/>
        <w:jc w:val="both"/>
        <w:rPr>
          <w:rFonts w:ascii="Palatino Linotype" w:eastAsia="Times New Roman" w:hAnsi="Palatino Linotype" w:cs="Times New Roman"/>
          <w:sz w:val="23"/>
          <w:szCs w:val="23"/>
          <w:shd w:val="clear" w:color="auto" w:fill="FFFFFF"/>
          <w:lang w:val="es-CO"/>
        </w:rPr>
      </w:pPr>
      <w:r w:rsidRPr="00443ACA">
        <w:rPr>
          <w:rFonts w:ascii="Palatino Linotype" w:eastAsia="Times New Roman" w:hAnsi="Palatino Linotype" w:cs="Times New Roman"/>
          <w:sz w:val="23"/>
          <w:szCs w:val="23"/>
          <w:shd w:val="clear" w:color="auto" w:fill="FFFFFF"/>
          <w:lang w:val="es-CO"/>
        </w:rPr>
        <w:t>Respecto a la Seguridad Social como derecho fundamental, es abundante la jurisprudencia de la Corte Constitucional.  Para citar una de ellas, de acuerdo con sentencia</w:t>
      </w:r>
      <w:r w:rsidRPr="00443ACA">
        <w:rPr>
          <w:rFonts w:ascii="Palatino Linotype" w:eastAsia="Times New Roman" w:hAnsi="Palatino Linotype" w:cs="Times New Roman"/>
          <w:sz w:val="23"/>
          <w:szCs w:val="23"/>
          <w:bdr w:val="none" w:sz="0" w:space="0" w:color="auto" w:frame="1"/>
          <w:lang w:val="es-CO"/>
        </w:rPr>
        <w:t xml:space="preserve"> T-164/13, M.P:  Dr. Jorge Pretelt Chaljub</w:t>
      </w:r>
      <w:r w:rsidRPr="00443ACA">
        <w:rPr>
          <w:rFonts w:ascii="Palatino Linotype" w:eastAsia="Times New Roman" w:hAnsi="Palatino Linotype" w:cs="Times New Roman"/>
          <w:sz w:val="23"/>
          <w:szCs w:val="23"/>
          <w:shd w:val="clear" w:color="auto" w:fill="FFFFFF"/>
          <w:lang w:val="es-CO"/>
        </w:rPr>
        <w:t xml:space="preserve">, la Corte Constitucional reiteró su jurisprudencia al respecto, señalando: </w:t>
      </w:r>
    </w:p>
    <w:p w14:paraId="20DD015E" w14:textId="77777777" w:rsidR="00844D61" w:rsidRPr="00443ACA" w:rsidRDefault="00844D61" w:rsidP="00443ACA">
      <w:pPr>
        <w:pStyle w:val="Sinespaciado"/>
        <w:ind w:left="720"/>
        <w:rPr>
          <w:rFonts w:ascii="Palatino Linotype" w:hAnsi="Palatino Linotype"/>
          <w:sz w:val="23"/>
          <w:szCs w:val="23"/>
          <w:shd w:val="clear" w:color="auto" w:fill="FFFFFF"/>
          <w:lang w:val="es-CO"/>
        </w:rPr>
      </w:pPr>
    </w:p>
    <w:p w14:paraId="598A4618" w14:textId="77777777" w:rsidR="00844D61" w:rsidRPr="00443ACA" w:rsidRDefault="00844D61" w:rsidP="00443ACA">
      <w:pPr>
        <w:pStyle w:val="Sinespaciado"/>
        <w:ind w:left="720"/>
        <w:jc w:val="both"/>
        <w:rPr>
          <w:rFonts w:ascii="Palatino Linotype" w:hAnsi="Palatino Linotype"/>
          <w:i/>
          <w:iCs/>
          <w:sz w:val="23"/>
          <w:szCs w:val="23"/>
          <w:bdr w:val="none" w:sz="0" w:space="0" w:color="auto" w:frame="1"/>
          <w:lang w:val="es-CO"/>
        </w:rPr>
      </w:pPr>
      <w:r w:rsidRPr="00443ACA">
        <w:rPr>
          <w:rFonts w:ascii="Palatino Linotype" w:hAnsi="Palatino Linotype"/>
          <w:i/>
          <w:iCs/>
          <w:sz w:val="23"/>
          <w:szCs w:val="23"/>
          <w:bdr w:val="none" w:sz="0" w:space="0" w:color="auto" w:frame="1"/>
          <w:lang w:val="es-CO"/>
        </w:rPr>
        <w:t xml:space="preserve">“Conforme a la jurisprudencia constitucional, </w:t>
      </w:r>
      <w:r w:rsidRPr="00443ACA">
        <w:rPr>
          <w:rFonts w:ascii="Palatino Linotype" w:hAnsi="Palatino Linotype"/>
          <w:i/>
          <w:iCs/>
          <w:sz w:val="23"/>
          <w:szCs w:val="23"/>
          <w:u w:val="single"/>
          <w:bdr w:val="none" w:sz="0" w:space="0" w:color="auto" w:frame="1"/>
          <w:lang w:val="es-CO"/>
        </w:rPr>
        <w:t xml:space="preserve">el derecho a la seguridad social es un real derecho fundamental </w:t>
      </w:r>
      <w:r w:rsidRPr="00443ACA">
        <w:rPr>
          <w:rFonts w:ascii="Palatino Linotype" w:hAnsi="Palatino Linotype"/>
          <w:i/>
          <w:iCs/>
          <w:sz w:val="23"/>
          <w:szCs w:val="23"/>
          <w:bdr w:val="none" w:sz="0" w:space="0" w:color="auto" w:frame="1"/>
          <w:lang w:val="es-CO"/>
        </w:rPr>
        <w:t>cuya efectividad se deriva “de (i) su carácter irrenunciable, (</w:t>
      </w:r>
      <w:proofErr w:type="spellStart"/>
      <w:r w:rsidRPr="00443ACA">
        <w:rPr>
          <w:rFonts w:ascii="Palatino Linotype" w:hAnsi="Palatino Linotype"/>
          <w:i/>
          <w:iCs/>
          <w:sz w:val="23"/>
          <w:szCs w:val="23"/>
          <w:bdr w:val="none" w:sz="0" w:space="0" w:color="auto" w:frame="1"/>
          <w:lang w:val="es-CO"/>
        </w:rPr>
        <w:t>ii</w:t>
      </w:r>
      <w:proofErr w:type="spellEnd"/>
      <w:r w:rsidRPr="00443ACA">
        <w:rPr>
          <w:rFonts w:ascii="Palatino Linotype" w:hAnsi="Palatino Linotype"/>
          <w:i/>
          <w:iCs/>
          <w:sz w:val="23"/>
          <w:szCs w:val="23"/>
          <w:bdr w:val="none" w:sz="0" w:space="0" w:color="auto" w:frame="1"/>
          <w:lang w:val="es-CO"/>
        </w:rPr>
        <w:t>) su reconocimiento como tal en los convenios y tratados internacionales ratificados por el Estado colombiano en la materia y (</w:t>
      </w:r>
      <w:proofErr w:type="spellStart"/>
      <w:r w:rsidRPr="00443ACA">
        <w:rPr>
          <w:rFonts w:ascii="Palatino Linotype" w:hAnsi="Palatino Linotype"/>
          <w:i/>
          <w:iCs/>
          <w:sz w:val="23"/>
          <w:szCs w:val="23"/>
          <w:bdr w:val="none" w:sz="0" w:space="0" w:color="auto" w:frame="1"/>
          <w:lang w:val="es-CO"/>
        </w:rPr>
        <w:t>iii</w:t>
      </w:r>
      <w:proofErr w:type="spellEnd"/>
      <w:r w:rsidRPr="00443ACA">
        <w:rPr>
          <w:rFonts w:ascii="Palatino Linotype" w:hAnsi="Palatino Linotype"/>
          <w:i/>
          <w:iCs/>
          <w:sz w:val="23"/>
          <w:szCs w:val="23"/>
          <w:bdr w:val="none" w:sz="0" w:space="0" w:color="auto" w:frame="1"/>
          <w:lang w:val="es-CO"/>
        </w:rPr>
        <w:t xml:space="preserve">) de su prestación como servicio público en concordancia con el principio de universalidad” </w:t>
      </w:r>
    </w:p>
    <w:p w14:paraId="28AFE37B" w14:textId="77777777" w:rsidR="00844D61" w:rsidRPr="00443ACA" w:rsidRDefault="00844D61" w:rsidP="00443ACA">
      <w:pPr>
        <w:pStyle w:val="Sinespaciado"/>
        <w:jc w:val="both"/>
        <w:rPr>
          <w:rFonts w:ascii="Palatino Linotype" w:hAnsi="Palatino Linotype"/>
          <w:sz w:val="23"/>
          <w:szCs w:val="23"/>
        </w:rPr>
      </w:pPr>
    </w:p>
    <w:p w14:paraId="7EB6BA93" w14:textId="77777777" w:rsidR="00844D61" w:rsidRPr="00443ACA" w:rsidRDefault="00844D61" w:rsidP="00443ACA">
      <w:pPr>
        <w:pStyle w:val="Sinespaciado"/>
        <w:jc w:val="both"/>
        <w:rPr>
          <w:rFonts w:ascii="Palatino Linotype" w:hAnsi="Palatino Linotype"/>
          <w:sz w:val="23"/>
          <w:szCs w:val="23"/>
        </w:rPr>
      </w:pPr>
      <w:r w:rsidRPr="00443ACA">
        <w:rPr>
          <w:rFonts w:ascii="Palatino Linotype" w:hAnsi="Palatino Linotype"/>
          <w:sz w:val="23"/>
          <w:szCs w:val="23"/>
        </w:rPr>
        <w:t xml:space="preserve">De </w:t>
      </w:r>
      <w:proofErr w:type="spellStart"/>
      <w:r w:rsidRPr="00443ACA">
        <w:rPr>
          <w:rFonts w:ascii="Palatino Linotype" w:hAnsi="Palatino Linotype"/>
          <w:sz w:val="23"/>
          <w:szCs w:val="23"/>
        </w:rPr>
        <w:t>acuerdo</w:t>
      </w:r>
      <w:proofErr w:type="spellEnd"/>
      <w:r w:rsidRPr="00443ACA">
        <w:rPr>
          <w:rFonts w:ascii="Palatino Linotype" w:hAnsi="Palatino Linotype"/>
          <w:sz w:val="23"/>
          <w:szCs w:val="23"/>
        </w:rPr>
        <w:t xml:space="preserve"> con lo anterior, </w:t>
      </w:r>
      <w:proofErr w:type="spellStart"/>
      <w:r w:rsidRPr="00443ACA">
        <w:rPr>
          <w:rFonts w:ascii="Palatino Linotype" w:hAnsi="Palatino Linotype"/>
          <w:sz w:val="23"/>
          <w:szCs w:val="23"/>
        </w:rPr>
        <w:t>solicitamos</w:t>
      </w:r>
      <w:proofErr w:type="spellEnd"/>
      <w:r w:rsidRPr="00443ACA">
        <w:rPr>
          <w:rFonts w:ascii="Palatino Linotype" w:hAnsi="Palatino Linotype"/>
          <w:sz w:val="23"/>
          <w:szCs w:val="23"/>
        </w:rPr>
        <w:t xml:space="preserve"> que se revise la </w:t>
      </w:r>
      <w:proofErr w:type="spellStart"/>
      <w:r w:rsidRPr="00443ACA">
        <w:rPr>
          <w:rFonts w:ascii="Palatino Linotype" w:hAnsi="Palatino Linotype"/>
          <w:sz w:val="23"/>
          <w:szCs w:val="23"/>
        </w:rPr>
        <w:t>legalidad</w:t>
      </w:r>
      <w:proofErr w:type="spellEnd"/>
      <w:r w:rsidRPr="00443ACA">
        <w:rPr>
          <w:rFonts w:ascii="Palatino Linotype" w:hAnsi="Palatino Linotype"/>
          <w:sz w:val="23"/>
          <w:szCs w:val="23"/>
        </w:rPr>
        <w:t xml:space="preserve"> de </w:t>
      </w:r>
      <w:proofErr w:type="spellStart"/>
      <w:r w:rsidRPr="00443ACA">
        <w:rPr>
          <w:rFonts w:ascii="Palatino Linotype" w:hAnsi="Palatino Linotype"/>
          <w:sz w:val="23"/>
          <w:szCs w:val="23"/>
        </w:rPr>
        <w:t>esta</w:t>
      </w:r>
      <w:proofErr w:type="spellEnd"/>
      <w:r w:rsidRPr="00443ACA">
        <w:rPr>
          <w:rFonts w:ascii="Palatino Linotype" w:hAnsi="Palatino Linotype"/>
          <w:sz w:val="23"/>
          <w:szCs w:val="23"/>
        </w:rPr>
        <w:t xml:space="preserve"> </w:t>
      </w:r>
      <w:proofErr w:type="spellStart"/>
      <w:r w:rsidRPr="00443ACA">
        <w:rPr>
          <w:rFonts w:ascii="Palatino Linotype" w:hAnsi="Palatino Linotype"/>
          <w:sz w:val="23"/>
          <w:szCs w:val="23"/>
        </w:rPr>
        <w:t>iniciativa</w:t>
      </w:r>
      <w:proofErr w:type="spellEnd"/>
      <w:r w:rsidRPr="00443ACA">
        <w:rPr>
          <w:rFonts w:ascii="Palatino Linotype" w:hAnsi="Palatino Linotype"/>
          <w:sz w:val="23"/>
          <w:szCs w:val="23"/>
        </w:rPr>
        <w:t xml:space="preserve"> </w:t>
      </w:r>
      <w:proofErr w:type="spellStart"/>
      <w:r w:rsidRPr="00443ACA">
        <w:rPr>
          <w:rFonts w:ascii="Palatino Linotype" w:hAnsi="Palatino Linotype"/>
          <w:sz w:val="23"/>
          <w:szCs w:val="23"/>
        </w:rPr>
        <w:t>legislativa</w:t>
      </w:r>
      <w:proofErr w:type="spellEnd"/>
      <w:r w:rsidRPr="00443ACA">
        <w:rPr>
          <w:rFonts w:ascii="Palatino Linotype" w:hAnsi="Palatino Linotype"/>
          <w:sz w:val="23"/>
          <w:szCs w:val="23"/>
        </w:rPr>
        <w:t xml:space="preserve"> </w:t>
      </w:r>
      <w:proofErr w:type="spellStart"/>
      <w:r w:rsidRPr="00443ACA">
        <w:rPr>
          <w:rFonts w:ascii="Palatino Linotype" w:hAnsi="Palatino Linotype"/>
          <w:sz w:val="23"/>
          <w:szCs w:val="23"/>
        </w:rPr>
        <w:t>en</w:t>
      </w:r>
      <w:proofErr w:type="spellEnd"/>
      <w:r w:rsidRPr="00443ACA">
        <w:rPr>
          <w:rFonts w:ascii="Palatino Linotype" w:hAnsi="Palatino Linotype"/>
          <w:sz w:val="23"/>
          <w:szCs w:val="23"/>
        </w:rPr>
        <w:t xml:space="preserve"> </w:t>
      </w:r>
      <w:proofErr w:type="spellStart"/>
      <w:r w:rsidRPr="00443ACA">
        <w:rPr>
          <w:rFonts w:ascii="Palatino Linotype" w:hAnsi="Palatino Linotype"/>
          <w:sz w:val="23"/>
          <w:szCs w:val="23"/>
        </w:rPr>
        <w:t>función</w:t>
      </w:r>
      <w:proofErr w:type="spellEnd"/>
      <w:r w:rsidRPr="00443ACA">
        <w:rPr>
          <w:rFonts w:ascii="Palatino Linotype" w:hAnsi="Palatino Linotype"/>
          <w:sz w:val="23"/>
          <w:szCs w:val="23"/>
        </w:rPr>
        <w:t xml:space="preserve"> del </w:t>
      </w:r>
      <w:proofErr w:type="spellStart"/>
      <w:r w:rsidRPr="00443ACA">
        <w:rPr>
          <w:rFonts w:ascii="Palatino Linotype" w:hAnsi="Palatino Linotype"/>
          <w:sz w:val="23"/>
          <w:szCs w:val="23"/>
        </w:rPr>
        <w:t>tipo</w:t>
      </w:r>
      <w:proofErr w:type="spellEnd"/>
      <w:r w:rsidRPr="00443ACA">
        <w:rPr>
          <w:rFonts w:ascii="Palatino Linotype" w:hAnsi="Palatino Linotype"/>
          <w:sz w:val="23"/>
          <w:szCs w:val="23"/>
        </w:rPr>
        <w:t xml:space="preserve"> de </w:t>
      </w:r>
      <w:proofErr w:type="spellStart"/>
      <w:r w:rsidRPr="00443ACA">
        <w:rPr>
          <w:rFonts w:ascii="Palatino Linotype" w:hAnsi="Palatino Linotype"/>
          <w:sz w:val="23"/>
          <w:szCs w:val="23"/>
        </w:rPr>
        <w:t>trámite</w:t>
      </w:r>
      <w:proofErr w:type="spellEnd"/>
      <w:r w:rsidRPr="00443ACA">
        <w:rPr>
          <w:rFonts w:ascii="Palatino Linotype" w:hAnsi="Palatino Linotype"/>
          <w:sz w:val="23"/>
          <w:szCs w:val="23"/>
        </w:rPr>
        <w:t xml:space="preserve">. </w:t>
      </w:r>
    </w:p>
    <w:p w14:paraId="432091E3" w14:textId="77777777" w:rsidR="00844D61" w:rsidRPr="00443ACA" w:rsidRDefault="00844D61" w:rsidP="00443ACA">
      <w:pPr>
        <w:pStyle w:val="Sinespaciado"/>
        <w:jc w:val="both"/>
        <w:rPr>
          <w:rFonts w:ascii="Palatino Linotype" w:eastAsia="Times New Roman" w:hAnsi="Palatino Linotype" w:cstheme="minorHAnsi"/>
          <w:sz w:val="23"/>
          <w:szCs w:val="23"/>
          <w:lang w:val="es-CO"/>
        </w:rPr>
      </w:pPr>
    </w:p>
    <w:p w14:paraId="53898E4D" w14:textId="77777777" w:rsidR="00844D61" w:rsidRPr="00443ACA" w:rsidRDefault="00844D61" w:rsidP="00443ACA">
      <w:pPr>
        <w:pStyle w:val="Sinespaciado"/>
        <w:jc w:val="both"/>
        <w:rPr>
          <w:rFonts w:ascii="Palatino Linotype" w:eastAsia="Times New Roman" w:hAnsi="Palatino Linotype" w:cstheme="minorHAnsi"/>
          <w:b/>
          <w:sz w:val="23"/>
          <w:szCs w:val="23"/>
          <w:lang w:val="es-CO"/>
        </w:rPr>
      </w:pPr>
      <w:r w:rsidRPr="00443ACA">
        <w:rPr>
          <w:rFonts w:ascii="Palatino Linotype" w:eastAsia="Times New Roman" w:hAnsi="Palatino Linotype" w:cstheme="minorHAnsi"/>
          <w:b/>
          <w:sz w:val="23"/>
          <w:szCs w:val="23"/>
          <w:lang w:val="es-CO"/>
        </w:rPr>
        <w:t xml:space="preserve">SÉPTIMO COMENTARIO.  Tratamiento de esta realidad económica en legislación comparada. </w:t>
      </w:r>
    </w:p>
    <w:p w14:paraId="5F24FBD5" w14:textId="77777777" w:rsidR="00844D61" w:rsidRPr="00443ACA" w:rsidRDefault="00844D61" w:rsidP="00443ACA">
      <w:pPr>
        <w:pStyle w:val="Sinespaciado"/>
        <w:jc w:val="both"/>
        <w:rPr>
          <w:rFonts w:ascii="Palatino Linotype" w:eastAsia="Times New Roman" w:hAnsi="Palatino Linotype" w:cstheme="minorHAnsi"/>
          <w:b/>
          <w:sz w:val="23"/>
          <w:szCs w:val="23"/>
          <w:lang w:val="es-CO"/>
        </w:rPr>
      </w:pPr>
    </w:p>
    <w:p w14:paraId="28DE0EBF" w14:textId="77777777" w:rsidR="00844D61" w:rsidRPr="00443ACA" w:rsidRDefault="00844D61" w:rsidP="00443ACA">
      <w:pPr>
        <w:pStyle w:val="Sinespaciado"/>
        <w:jc w:val="both"/>
        <w:rPr>
          <w:rFonts w:ascii="Palatino Linotype" w:eastAsia="Times New Roman" w:hAnsi="Palatino Linotype" w:cstheme="minorHAnsi"/>
          <w:sz w:val="23"/>
          <w:szCs w:val="23"/>
          <w:lang w:val="es-CO"/>
        </w:rPr>
      </w:pPr>
      <w:r w:rsidRPr="00443ACA">
        <w:rPr>
          <w:rFonts w:ascii="Palatino Linotype" w:eastAsia="Times New Roman" w:hAnsi="Palatino Linotype" w:cstheme="minorHAnsi"/>
          <w:sz w:val="23"/>
          <w:szCs w:val="23"/>
          <w:lang w:val="es-CO"/>
        </w:rPr>
        <w:t xml:space="preserve">De un análisis de legislación comparada (Alemania, España, Italia, México) se puede concluir que la figura del trabajador </w:t>
      </w:r>
      <w:proofErr w:type="gramStart"/>
      <w:r w:rsidRPr="00443ACA">
        <w:rPr>
          <w:rFonts w:ascii="Palatino Linotype" w:eastAsia="Times New Roman" w:hAnsi="Palatino Linotype" w:cstheme="minorHAnsi"/>
          <w:sz w:val="23"/>
          <w:szCs w:val="23"/>
          <w:lang w:val="es-CO"/>
        </w:rPr>
        <w:t>digital,</w:t>
      </w:r>
      <w:proofErr w:type="gramEnd"/>
      <w:r w:rsidRPr="00443ACA">
        <w:rPr>
          <w:rFonts w:ascii="Palatino Linotype" w:eastAsia="Times New Roman" w:hAnsi="Palatino Linotype" w:cstheme="minorHAnsi"/>
          <w:sz w:val="23"/>
          <w:szCs w:val="23"/>
          <w:lang w:val="es-CO"/>
        </w:rPr>
        <w:t xml:space="preserve"> se ha desarrollado en el marco y partiendo del contrato de prestación de servicios, extendiendo algunas de las garantías de la relación dependiente, a una relación autónoma que se caracteriza por la subordinación únicamente en materia económica.  En otras palabras, se parte de un contrato comercial, para si así lo quiere el legislador, otorgarle algunos beneficios adicionales, pero de ninguna manera se puede considerar otorgarle una naturaleza laboral, como lo pretende el proyecto de ley 82 de 2018, para desde ese punto de partida, excluirle beneficios </w:t>
      </w:r>
      <w:proofErr w:type="gramStart"/>
      <w:r w:rsidRPr="00443ACA">
        <w:rPr>
          <w:rFonts w:ascii="Palatino Linotype" w:eastAsia="Times New Roman" w:hAnsi="Palatino Linotype" w:cstheme="minorHAnsi"/>
          <w:sz w:val="23"/>
          <w:szCs w:val="23"/>
          <w:lang w:val="es-CO"/>
        </w:rPr>
        <w:t>que</w:t>
      </w:r>
      <w:proofErr w:type="gramEnd"/>
      <w:r w:rsidRPr="00443ACA">
        <w:rPr>
          <w:rFonts w:ascii="Palatino Linotype" w:eastAsia="Times New Roman" w:hAnsi="Palatino Linotype" w:cstheme="minorHAnsi"/>
          <w:sz w:val="23"/>
          <w:szCs w:val="23"/>
          <w:lang w:val="es-CO"/>
        </w:rPr>
        <w:t xml:space="preserve"> si fuere laboral, no tendría </w:t>
      </w:r>
      <w:proofErr w:type="spellStart"/>
      <w:r w:rsidRPr="00443ACA">
        <w:rPr>
          <w:rFonts w:ascii="Palatino Linotype" w:eastAsia="Times New Roman" w:hAnsi="Palatino Linotype" w:cstheme="minorHAnsi"/>
          <w:sz w:val="23"/>
          <w:szCs w:val="23"/>
          <w:lang w:val="es-CO"/>
        </w:rPr>
        <w:t>porque</w:t>
      </w:r>
      <w:proofErr w:type="spellEnd"/>
      <w:r w:rsidRPr="00443ACA">
        <w:rPr>
          <w:rFonts w:ascii="Palatino Linotype" w:eastAsia="Times New Roman" w:hAnsi="Palatino Linotype" w:cstheme="minorHAnsi"/>
          <w:sz w:val="23"/>
          <w:szCs w:val="23"/>
          <w:lang w:val="es-CO"/>
        </w:rPr>
        <w:t xml:space="preserve"> suprimirle.    </w:t>
      </w:r>
    </w:p>
    <w:p w14:paraId="69E86C3B" w14:textId="77777777" w:rsidR="00844D61" w:rsidRPr="00443ACA" w:rsidRDefault="00844D61" w:rsidP="00443ACA">
      <w:pPr>
        <w:pStyle w:val="Sinespaciado"/>
        <w:jc w:val="both"/>
        <w:rPr>
          <w:rFonts w:ascii="Palatino Linotype" w:eastAsia="Times New Roman" w:hAnsi="Palatino Linotype" w:cstheme="minorHAnsi"/>
          <w:sz w:val="23"/>
          <w:szCs w:val="23"/>
          <w:lang w:val="es-CO"/>
        </w:rPr>
      </w:pPr>
    </w:p>
    <w:p w14:paraId="148D1224" w14:textId="77777777" w:rsidR="00844D61" w:rsidRPr="00443ACA" w:rsidRDefault="00844D61" w:rsidP="00443ACA">
      <w:pPr>
        <w:pStyle w:val="Sinespaciado"/>
        <w:jc w:val="both"/>
        <w:rPr>
          <w:rFonts w:ascii="Palatino Linotype" w:eastAsia="Times New Roman" w:hAnsi="Palatino Linotype" w:cstheme="minorHAnsi"/>
          <w:sz w:val="23"/>
          <w:szCs w:val="23"/>
          <w:lang w:val="es-CO"/>
        </w:rPr>
      </w:pPr>
      <w:r w:rsidRPr="00443ACA">
        <w:rPr>
          <w:rFonts w:ascii="Palatino Linotype" w:eastAsia="Times New Roman" w:hAnsi="Palatino Linotype" w:cstheme="minorHAnsi"/>
          <w:sz w:val="23"/>
          <w:szCs w:val="23"/>
          <w:lang w:val="es-CO"/>
        </w:rPr>
        <w:t>Por lo anterior estimamos conveniente considerar que las compañías deben mantener su libertad de escoger el modelo de negocio en virtud del cual quieren cimentar su modelo de relacionamiento con sus socios, colaboradores o clientes. Sobre esta base será el Ministerio del Trabajo y/o la UGPP los llamados a vigilar el cumplimiento de las normas en materia laboral o de seguridad socias que puedan o no aplicar a cada uno de estos modelos de negocio.</w:t>
      </w:r>
    </w:p>
    <w:p w14:paraId="02FDA87A" w14:textId="77777777" w:rsidR="00844D61" w:rsidRPr="00443ACA" w:rsidRDefault="00844D61" w:rsidP="00443ACA">
      <w:pPr>
        <w:pStyle w:val="Sinespaciado"/>
        <w:jc w:val="both"/>
        <w:rPr>
          <w:rFonts w:ascii="Palatino Linotype" w:eastAsia="Times New Roman" w:hAnsi="Palatino Linotype" w:cstheme="minorHAnsi"/>
          <w:sz w:val="23"/>
          <w:szCs w:val="23"/>
          <w:lang w:val="es-CO"/>
        </w:rPr>
      </w:pPr>
    </w:p>
    <w:p w14:paraId="5835090A" w14:textId="77777777" w:rsidR="00844D61" w:rsidRPr="00443ACA" w:rsidRDefault="00844D61" w:rsidP="00443ACA">
      <w:pPr>
        <w:pStyle w:val="Sinespaciado"/>
        <w:jc w:val="both"/>
        <w:rPr>
          <w:rFonts w:ascii="Palatino Linotype" w:eastAsia="Times New Roman" w:hAnsi="Palatino Linotype" w:cstheme="minorHAnsi"/>
          <w:sz w:val="23"/>
          <w:szCs w:val="23"/>
          <w:lang w:val="es-CO"/>
        </w:rPr>
      </w:pPr>
      <w:r w:rsidRPr="00443ACA">
        <w:rPr>
          <w:rFonts w:ascii="Palatino Linotype" w:eastAsia="Times New Roman" w:hAnsi="Palatino Linotype" w:cstheme="minorHAnsi"/>
          <w:sz w:val="23"/>
          <w:szCs w:val="23"/>
          <w:lang w:val="es-CO"/>
        </w:rPr>
        <w:t>En ese sentido, solicitamos una revisión profunda del Proyecto de Ley, para excluir cualquier referencia o asociación con un contrato de trabajado, tales como “</w:t>
      </w:r>
      <w:r w:rsidRPr="00443ACA">
        <w:rPr>
          <w:rFonts w:ascii="Palatino Linotype" w:eastAsia="Times New Roman" w:hAnsi="Palatino Linotype" w:cstheme="minorHAnsi"/>
          <w:i/>
          <w:sz w:val="23"/>
          <w:szCs w:val="23"/>
          <w:lang w:val="es-CO"/>
        </w:rPr>
        <w:t>trabajador</w:t>
      </w:r>
      <w:r w:rsidRPr="00443ACA">
        <w:rPr>
          <w:rFonts w:ascii="Palatino Linotype" w:eastAsia="Times New Roman" w:hAnsi="Palatino Linotype" w:cstheme="minorHAnsi"/>
          <w:sz w:val="23"/>
          <w:szCs w:val="23"/>
          <w:lang w:val="es-CO"/>
        </w:rPr>
        <w:t>”, y “</w:t>
      </w:r>
      <w:r w:rsidRPr="00443ACA">
        <w:rPr>
          <w:rFonts w:ascii="Palatino Linotype" w:eastAsia="Times New Roman" w:hAnsi="Palatino Linotype" w:cstheme="minorHAnsi"/>
          <w:i/>
          <w:sz w:val="23"/>
          <w:szCs w:val="23"/>
          <w:lang w:val="es-CO"/>
        </w:rPr>
        <w:t>trabajo digital económicamente dependiente</w:t>
      </w:r>
      <w:r w:rsidRPr="00443ACA">
        <w:rPr>
          <w:rFonts w:ascii="Palatino Linotype" w:eastAsia="Times New Roman" w:hAnsi="Palatino Linotype" w:cstheme="minorHAnsi"/>
          <w:sz w:val="23"/>
          <w:szCs w:val="23"/>
          <w:lang w:val="es-CO"/>
        </w:rPr>
        <w:t xml:space="preserve">”. </w:t>
      </w:r>
    </w:p>
    <w:p w14:paraId="05A8B1BC" w14:textId="77777777" w:rsidR="00844D61" w:rsidRPr="00443ACA" w:rsidRDefault="00844D61" w:rsidP="00443ACA">
      <w:pPr>
        <w:pStyle w:val="Sinespaciado"/>
        <w:jc w:val="both"/>
        <w:rPr>
          <w:rFonts w:ascii="Palatino Linotype" w:hAnsi="Palatino Linotype"/>
          <w:sz w:val="23"/>
          <w:szCs w:val="23"/>
          <w:lang w:val="es-CO"/>
        </w:rPr>
      </w:pPr>
    </w:p>
    <w:p w14:paraId="33B72F65" w14:textId="77777777" w:rsidR="00844D61" w:rsidRPr="00443ACA" w:rsidRDefault="00844D61" w:rsidP="00443ACA">
      <w:pPr>
        <w:pStyle w:val="Sinespaciado"/>
        <w:jc w:val="both"/>
        <w:rPr>
          <w:rFonts w:ascii="Palatino Linotype" w:hAnsi="Palatino Linotype"/>
          <w:b/>
          <w:sz w:val="23"/>
          <w:szCs w:val="23"/>
          <w:lang w:val="es-CO"/>
        </w:rPr>
      </w:pPr>
      <w:r w:rsidRPr="00443ACA">
        <w:rPr>
          <w:rFonts w:ascii="Palatino Linotype" w:hAnsi="Palatino Linotype"/>
          <w:b/>
          <w:sz w:val="23"/>
          <w:szCs w:val="23"/>
          <w:lang w:val="es-CO"/>
        </w:rPr>
        <w:t xml:space="preserve">OCTAVO COMENTARIO.  Violación al Principio de Neutralidad de la red. </w:t>
      </w:r>
    </w:p>
    <w:p w14:paraId="15A21514" w14:textId="77777777" w:rsidR="00844D61" w:rsidRPr="00443ACA" w:rsidRDefault="00844D61" w:rsidP="00443ACA">
      <w:pPr>
        <w:pStyle w:val="Sinespaciado"/>
        <w:jc w:val="both"/>
        <w:rPr>
          <w:rFonts w:ascii="Palatino Linotype" w:hAnsi="Palatino Linotype"/>
          <w:sz w:val="23"/>
          <w:szCs w:val="23"/>
          <w:lang w:val="es-CO"/>
        </w:rPr>
      </w:pPr>
    </w:p>
    <w:p w14:paraId="6BCB8D0F" w14:textId="79AB634F" w:rsidR="00844D61" w:rsidRPr="00443ACA" w:rsidRDefault="00443ACA" w:rsidP="00443ACA">
      <w:pPr>
        <w:pStyle w:val="Sinespaciado"/>
        <w:jc w:val="both"/>
        <w:rPr>
          <w:rFonts w:ascii="Palatino Linotype" w:eastAsiaTheme="minorEastAsia" w:hAnsi="Palatino Linotype"/>
          <w:sz w:val="23"/>
          <w:szCs w:val="23"/>
          <w:lang w:val="es-CO"/>
        </w:rPr>
      </w:pPr>
      <w:r w:rsidRPr="00443ACA">
        <w:rPr>
          <w:rFonts w:ascii="Palatino Linotype" w:eastAsia="Times New Roman" w:hAnsi="Palatino Linotype" w:cs="Times New Roman"/>
          <w:sz w:val="23"/>
          <w:szCs w:val="23"/>
          <w:lang w:val="es-CO"/>
        </w:rPr>
        <w:t>Sobre la</w:t>
      </w:r>
      <w:r w:rsidR="00844D61" w:rsidRPr="00443ACA">
        <w:rPr>
          <w:rFonts w:ascii="Palatino Linotype" w:eastAsia="Times New Roman" w:hAnsi="Palatino Linotype" w:cs="Times New Roman"/>
          <w:sz w:val="23"/>
          <w:szCs w:val="23"/>
          <w:lang w:val="es-CO"/>
        </w:rPr>
        <w:t xml:space="preserve"> disposición</w:t>
      </w:r>
      <w:r w:rsidRPr="00443ACA">
        <w:rPr>
          <w:rFonts w:ascii="Palatino Linotype" w:eastAsia="Times New Roman" w:hAnsi="Palatino Linotype" w:cs="Times New Roman"/>
          <w:sz w:val="23"/>
          <w:szCs w:val="23"/>
          <w:lang w:val="es-CO"/>
        </w:rPr>
        <w:t xml:space="preserve"> que trata el artículo 10 del proyecto legislativo, consideramos que ésta</w:t>
      </w:r>
      <w:r w:rsidR="00844D61" w:rsidRPr="00443ACA">
        <w:rPr>
          <w:rFonts w:ascii="Palatino Linotype" w:eastAsia="Times New Roman" w:hAnsi="Palatino Linotype" w:cs="Times New Roman"/>
          <w:sz w:val="23"/>
          <w:szCs w:val="23"/>
          <w:lang w:val="es-CO"/>
        </w:rPr>
        <w:t xml:space="preserve"> </w:t>
      </w:r>
      <w:r w:rsidR="00844D61" w:rsidRPr="00443ACA">
        <w:rPr>
          <w:rFonts w:ascii="Palatino Linotype" w:hAnsi="Palatino Linotype"/>
          <w:sz w:val="23"/>
          <w:szCs w:val="23"/>
          <w:lang w:val="es-CO"/>
        </w:rPr>
        <w:t xml:space="preserve">implica que para operar como una Empresa de Intermediación Digital se requiere habilitación y permiso previo, el cual no se encuentra consagrado en nuestro ordenamiento jurídico. Esto violaría el principio de neutralidad de la red que está proclamado en la ley colombiana y que permite a los contenidos no ser discriminados ni prohibidos salvo las excepciones contempladas expresamente. </w:t>
      </w:r>
    </w:p>
    <w:p w14:paraId="7AEF77D3" w14:textId="77777777" w:rsidR="00844D61" w:rsidRPr="00443ACA" w:rsidRDefault="00844D61" w:rsidP="00443ACA">
      <w:pPr>
        <w:pStyle w:val="Sinespaciado"/>
        <w:jc w:val="both"/>
        <w:rPr>
          <w:rFonts w:ascii="Palatino Linotype" w:hAnsi="Palatino Linotype"/>
          <w:sz w:val="23"/>
          <w:szCs w:val="23"/>
          <w:lang w:val="es-CO"/>
        </w:rPr>
      </w:pPr>
    </w:p>
    <w:p w14:paraId="4FD4D1C3" w14:textId="77777777" w:rsidR="00844D61" w:rsidRPr="00443ACA" w:rsidRDefault="00844D61" w:rsidP="00443ACA">
      <w:pPr>
        <w:pStyle w:val="Sinespaciado"/>
        <w:jc w:val="both"/>
        <w:rPr>
          <w:rFonts w:ascii="Palatino Linotype" w:eastAsia="Times New Roman" w:hAnsi="Palatino Linotype" w:cs="Times New Roman"/>
          <w:sz w:val="23"/>
          <w:szCs w:val="23"/>
          <w:lang w:val="es-CO"/>
        </w:rPr>
      </w:pPr>
      <w:r w:rsidRPr="00443ACA">
        <w:rPr>
          <w:rFonts w:ascii="Palatino Linotype" w:eastAsia="Times New Roman" w:hAnsi="Palatino Linotype" w:cs="Times New Roman"/>
          <w:sz w:val="23"/>
          <w:szCs w:val="23"/>
          <w:lang w:val="es-CO"/>
        </w:rPr>
        <w:t xml:space="preserve">Ninguna Plataforma Tecnológica o </w:t>
      </w:r>
      <w:proofErr w:type="gramStart"/>
      <w:r w:rsidRPr="00443ACA">
        <w:rPr>
          <w:rFonts w:ascii="Palatino Linotype" w:eastAsia="Times New Roman" w:hAnsi="Palatino Linotype" w:cs="Times New Roman"/>
          <w:sz w:val="23"/>
          <w:szCs w:val="23"/>
          <w:lang w:val="es-CO"/>
        </w:rPr>
        <w:t>app</w:t>
      </w:r>
      <w:proofErr w:type="gramEnd"/>
      <w:r w:rsidRPr="00443ACA">
        <w:rPr>
          <w:rFonts w:ascii="Palatino Linotype" w:eastAsia="Times New Roman" w:hAnsi="Palatino Linotype" w:cs="Times New Roman"/>
          <w:sz w:val="23"/>
          <w:szCs w:val="23"/>
          <w:lang w:val="es-CO"/>
        </w:rPr>
        <w:t xml:space="preserve"> debe ser objeto de registro, habilitación o permiso de operación. </w:t>
      </w:r>
    </w:p>
    <w:p w14:paraId="32800646" w14:textId="77777777" w:rsidR="00844D61" w:rsidRPr="00443ACA" w:rsidRDefault="00844D61" w:rsidP="00443ACA">
      <w:pPr>
        <w:pStyle w:val="Sinespaciado"/>
        <w:jc w:val="both"/>
        <w:rPr>
          <w:rFonts w:ascii="Palatino Linotype" w:hAnsi="Palatino Linotype"/>
          <w:sz w:val="23"/>
          <w:szCs w:val="23"/>
          <w:lang w:val="es-CO"/>
        </w:rPr>
      </w:pPr>
    </w:p>
    <w:p w14:paraId="747D7C80" w14:textId="77777777" w:rsidR="00844D61" w:rsidRPr="00443ACA" w:rsidRDefault="00844D61" w:rsidP="00443ACA">
      <w:pPr>
        <w:pStyle w:val="Sinespaciado"/>
        <w:jc w:val="both"/>
        <w:rPr>
          <w:rFonts w:ascii="Palatino Linotype" w:hAnsi="Palatino Linotype"/>
          <w:b/>
          <w:sz w:val="23"/>
          <w:szCs w:val="23"/>
          <w:lang w:val="es-CO"/>
        </w:rPr>
      </w:pPr>
      <w:r w:rsidRPr="00443ACA">
        <w:rPr>
          <w:rFonts w:ascii="Palatino Linotype" w:hAnsi="Palatino Linotype"/>
          <w:b/>
          <w:sz w:val="23"/>
          <w:szCs w:val="23"/>
          <w:lang w:val="es-CO"/>
        </w:rPr>
        <w:t xml:space="preserve">NOVENO COMENTARIO.   Análisis de impacto económico y social de la norma. </w:t>
      </w:r>
    </w:p>
    <w:p w14:paraId="0D1E28DF" w14:textId="77777777" w:rsidR="00844D61" w:rsidRPr="00443ACA" w:rsidRDefault="00844D61" w:rsidP="00443ACA">
      <w:pPr>
        <w:pStyle w:val="Sinespaciado"/>
        <w:jc w:val="both"/>
        <w:rPr>
          <w:rFonts w:ascii="Palatino Linotype" w:hAnsi="Palatino Linotype"/>
          <w:sz w:val="23"/>
          <w:szCs w:val="23"/>
          <w:lang w:val="es-CO"/>
        </w:rPr>
      </w:pPr>
    </w:p>
    <w:p w14:paraId="5912BBEA" w14:textId="77777777" w:rsidR="00844D61" w:rsidRPr="00443ACA" w:rsidRDefault="00844D61" w:rsidP="00443ACA">
      <w:pPr>
        <w:pStyle w:val="Sinespaciado"/>
        <w:jc w:val="both"/>
        <w:rPr>
          <w:rFonts w:ascii="Palatino Linotype" w:eastAsiaTheme="minorEastAsia" w:hAnsi="Palatino Linotype"/>
          <w:sz w:val="23"/>
          <w:szCs w:val="23"/>
          <w:lang w:val="es-CO"/>
        </w:rPr>
      </w:pPr>
      <w:r w:rsidRPr="00443ACA">
        <w:rPr>
          <w:rFonts w:ascii="Palatino Linotype" w:hAnsi="Palatino Linotype"/>
          <w:sz w:val="23"/>
          <w:szCs w:val="23"/>
          <w:lang w:val="es-CO"/>
        </w:rPr>
        <w:t xml:space="preserve">De aprobarse una ley como la que se plantea, implicará una grave afectación al desarrollo de aplicaciones en Colombia, así como un desincentivo al emprendimiento digital, dadas las cargas que se le van a imponer a los emprendedores que pretendan desarrollar modelos de negocio de este tipo. Así, el proyecto establece barreras de acceso para la implementación de este tipo de innovaciones, y contraría el derecho de acceso al progreso científico y tecnológico contemplado en la Declaración Universal de Derechos Humanos, en la Convención Interamericana de Derechos Humanos, e instrumentos internacionales conexos, que hacen parte del Bloque de Constitucionalidad. </w:t>
      </w:r>
    </w:p>
    <w:p w14:paraId="3EBFF618" w14:textId="77777777" w:rsidR="00844D61" w:rsidRPr="00443ACA" w:rsidRDefault="00844D61" w:rsidP="00443ACA">
      <w:pPr>
        <w:pStyle w:val="Sinespaciado"/>
        <w:jc w:val="both"/>
        <w:rPr>
          <w:rFonts w:ascii="Palatino Linotype" w:hAnsi="Palatino Linotype" w:cs="Times"/>
          <w:sz w:val="23"/>
          <w:szCs w:val="23"/>
          <w:lang w:val="es-CO"/>
        </w:rPr>
      </w:pPr>
    </w:p>
    <w:p w14:paraId="6550DABF" w14:textId="77777777" w:rsidR="00844D61" w:rsidRPr="00443ACA" w:rsidRDefault="00844D61" w:rsidP="00443ACA">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Por otra parte, este proyecto de ley, más que promover, atenta directamente contra el modelo de economía colaborativa que parte del supuesto de que diferentes actores en el mercado comparten e intercambian bienes y servicios a través de plataformas digitales. </w:t>
      </w:r>
      <w:r w:rsidRPr="00443ACA">
        <w:rPr>
          <w:rFonts w:ascii="Palatino Linotype" w:hAnsi="Palatino Linotype" w:cs="Times"/>
          <w:sz w:val="23"/>
          <w:szCs w:val="23"/>
          <w:lang w:val="es-CO"/>
        </w:rPr>
        <w:t xml:space="preserve">  En ese sentido, </w:t>
      </w:r>
      <w:r w:rsidRPr="00443ACA">
        <w:rPr>
          <w:rFonts w:ascii="Palatino Linotype" w:hAnsi="Palatino Linotype"/>
          <w:sz w:val="23"/>
          <w:szCs w:val="23"/>
          <w:lang w:val="es-CO"/>
        </w:rPr>
        <w:t>si se enmarca la relación entre las plataformas digitales y los proveedores de los servicios como una relación “</w:t>
      </w:r>
      <w:proofErr w:type="spellStart"/>
      <w:r w:rsidRPr="00443ACA">
        <w:rPr>
          <w:rFonts w:ascii="Palatino Linotype" w:hAnsi="Palatino Linotype"/>
          <w:sz w:val="23"/>
          <w:szCs w:val="23"/>
          <w:lang w:val="es-CO"/>
        </w:rPr>
        <w:t>semi-laboral</w:t>
      </w:r>
      <w:proofErr w:type="spellEnd"/>
      <w:r w:rsidRPr="00443ACA">
        <w:rPr>
          <w:rFonts w:ascii="Palatino Linotype" w:hAnsi="Palatino Linotype"/>
          <w:sz w:val="23"/>
          <w:szCs w:val="23"/>
          <w:lang w:val="es-CO"/>
        </w:rPr>
        <w:t xml:space="preserve">” se regresaría al modelo tradicional económico (jerárquico y no colaborativo) en detrimento de las posibilidades, ventajas y beneficios de la economía colaborativa. </w:t>
      </w:r>
    </w:p>
    <w:p w14:paraId="69E4BE08" w14:textId="77777777" w:rsidR="00844D61" w:rsidRPr="00443ACA" w:rsidRDefault="00844D61" w:rsidP="00443ACA">
      <w:pPr>
        <w:pStyle w:val="Sinespaciado"/>
        <w:jc w:val="both"/>
        <w:rPr>
          <w:rFonts w:ascii="Palatino Linotype" w:hAnsi="Palatino Linotype" w:cs="Times"/>
          <w:sz w:val="23"/>
          <w:szCs w:val="23"/>
          <w:lang w:val="es-CO"/>
        </w:rPr>
      </w:pPr>
    </w:p>
    <w:p w14:paraId="075B2149" w14:textId="77777777" w:rsidR="00844D61" w:rsidRPr="00443ACA" w:rsidRDefault="00844D61" w:rsidP="00443ACA">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Esta medida implicaría, entonces, un retroceso en la política de desarrollo digital y de aplicaciones del país y, en últimas, haría inviable la operación de emprendimientos colombianos y la llegada de nuevos actores al mercado de </w:t>
      </w:r>
      <w:proofErr w:type="gramStart"/>
      <w:r w:rsidRPr="00443ACA">
        <w:rPr>
          <w:rFonts w:ascii="Palatino Linotype" w:hAnsi="Palatino Linotype"/>
          <w:sz w:val="23"/>
          <w:szCs w:val="23"/>
          <w:lang w:val="es-CO"/>
        </w:rPr>
        <w:t>apps</w:t>
      </w:r>
      <w:proofErr w:type="gramEnd"/>
      <w:r w:rsidRPr="00443ACA">
        <w:rPr>
          <w:rFonts w:ascii="Palatino Linotype" w:hAnsi="Palatino Linotype"/>
          <w:sz w:val="23"/>
          <w:szCs w:val="23"/>
          <w:lang w:val="es-CO"/>
        </w:rPr>
        <w:t>. También contraría los lineamientos establecidos por la OCDE en cuanto a eliminación de barreras para la implementación de estas tecnologías en movilidad y economía</w:t>
      </w:r>
      <w:r w:rsidRPr="00443ACA">
        <w:rPr>
          <w:rFonts w:ascii="Palatino Linotype" w:hAnsi="Palatino Linotype" w:cs="Times"/>
          <w:sz w:val="23"/>
          <w:szCs w:val="23"/>
          <w:lang w:val="es-CO"/>
        </w:rPr>
        <w:t xml:space="preserve"> </w:t>
      </w:r>
      <w:r w:rsidRPr="00443ACA">
        <w:rPr>
          <w:rFonts w:ascii="Palatino Linotype" w:hAnsi="Palatino Linotype"/>
          <w:sz w:val="23"/>
          <w:szCs w:val="23"/>
          <w:lang w:val="es-CO"/>
        </w:rPr>
        <w:t>colaborativa.</w:t>
      </w:r>
    </w:p>
    <w:p w14:paraId="4E18A1F8" w14:textId="77777777" w:rsidR="00844D61" w:rsidRPr="00443ACA" w:rsidRDefault="00844D61" w:rsidP="00844D61">
      <w:pPr>
        <w:widowControl w:val="0"/>
        <w:tabs>
          <w:tab w:val="left" w:pos="220"/>
          <w:tab w:val="left" w:pos="720"/>
        </w:tabs>
        <w:autoSpaceDE w:val="0"/>
        <w:autoSpaceDN w:val="0"/>
        <w:adjustRightInd w:val="0"/>
        <w:spacing w:line="288" w:lineRule="auto"/>
        <w:jc w:val="both"/>
        <w:rPr>
          <w:rFonts w:ascii="Tahoma" w:hAnsi="Tahoma"/>
          <w:sz w:val="23"/>
          <w:szCs w:val="23"/>
          <w:lang w:val="es-CO"/>
        </w:rPr>
      </w:pPr>
    </w:p>
    <w:p w14:paraId="6B7CAB37" w14:textId="77777777" w:rsidR="00844D61" w:rsidRPr="00443ACA" w:rsidRDefault="00844D61" w:rsidP="00443ACA">
      <w:pPr>
        <w:pStyle w:val="Sinespaciado"/>
        <w:jc w:val="both"/>
        <w:rPr>
          <w:rFonts w:ascii="Palatino Linotype" w:hAnsi="Palatino Linotype" w:cstheme="minorBidi"/>
          <w:sz w:val="23"/>
          <w:szCs w:val="23"/>
          <w:lang w:val="es-CO"/>
        </w:rPr>
      </w:pPr>
      <w:r w:rsidRPr="00443ACA">
        <w:rPr>
          <w:rFonts w:ascii="Palatino Linotype" w:hAnsi="Palatino Linotype"/>
          <w:sz w:val="23"/>
          <w:szCs w:val="23"/>
          <w:lang w:val="es-CO"/>
        </w:rPr>
        <w:t xml:space="preserve">La Cámara Colombiana de Comercio Electrónico (CCCE), como el gremio que de manera </w:t>
      </w:r>
      <w:proofErr w:type="spellStart"/>
      <w:r w:rsidRPr="00443ACA">
        <w:rPr>
          <w:rFonts w:ascii="Palatino Linotype" w:hAnsi="Palatino Linotype"/>
          <w:sz w:val="23"/>
          <w:szCs w:val="23"/>
          <w:lang w:val="es-CO"/>
        </w:rPr>
        <w:t>mas</w:t>
      </w:r>
      <w:proofErr w:type="spellEnd"/>
      <w:r w:rsidRPr="00443ACA">
        <w:rPr>
          <w:rFonts w:ascii="Palatino Linotype" w:hAnsi="Palatino Linotype"/>
          <w:sz w:val="23"/>
          <w:szCs w:val="23"/>
          <w:lang w:val="es-CO"/>
        </w:rPr>
        <w:t xml:space="preserve"> representativa agrupa empresas vinculadas al sector del comercio electrónico, tanto proveedores de servicios como comercios, nos ponemos a su disposición para participar ante la Comisión que usted lidera, o ante la Comisión que sea competente, en las discusiones que deban adelantarse respecto a la naturaleza y características de las Plataformas Tecnológicas, y si ello fuera necesario, ayudar en la construcción de una regulación que permita al país seguir avanzando en la modernización y adopción de modelos de negocio que permitan una mayor competitividad y desarrollo de los sectores económicos involucrados.  </w:t>
      </w:r>
    </w:p>
    <w:p w14:paraId="28C147AE" w14:textId="77777777" w:rsidR="00844D61" w:rsidRPr="00443ACA" w:rsidRDefault="00844D61" w:rsidP="00443ACA">
      <w:pPr>
        <w:pStyle w:val="Sinespaciado"/>
        <w:jc w:val="both"/>
        <w:rPr>
          <w:rFonts w:ascii="Palatino Linotype" w:hAnsi="Palatino Linotype"/>
          <w:sz w:val="23"/>
          <w:szCs w:val="23"/>
          <w:lang w:val="es-CO"/>
        </w:rPr>
      </w:pPr>
    </w:p>
    <w:p w14:paraId="19E7AADD" w14:textId="0F5ECB91" w:rsidR="00844D61" w:rsidRPr="00443ACA" w:rsidRDefault="00844D61" w:rsidP="00443ACA">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Cordialmente</w:t>
      </w:r>
      <w:r w:rsidR="00443ACA" w:rsidRPr="00443ACA">
        <w:rPr>
          <w:rFonts w:ascii="Palatino Linotype" w:hAnsi="Palatino Linotype"/>
          <w:sz w:val="23"/>
          <w:szCs w:val="23"/>
          <w:lang w:val="es-CO"/>
        </w:rPr>
        <w:t>,</w:t>
      </w:r>
    </w:p>
    <w:p w14:paraId="6792B327" w14:textId="77777777" w:rsidR="00844D61" w:rsidRPr="00443ACA" w:rsidRDefault="00844D61" w:rsidP="00443ACA">
      <w:pPr>
        <w:pStyle w:val="Sinespaciado"/>
        <w:jc w:val="both"/>
        <w:rPr>
          <w:rFonts w:ascii="Palatino Linotype" w:hAnsi="Palatino Linotype"/>
          <w:sz w:val="23"/>
          <w:szCs w:val="23"/>
          <w:lang w:val="es-CO"/>
        </w:rPr>
      </w:pPr>
    </w:p>
    <w:p w14:paraId="01EFDB54" w14:textId="77777777" w:rsidR="00844D61" w:rsidRPr="00443ACA" w:rsidRDefault="00844D61" w:rsidP="00443ACA">
      <w:pPr>
        <w:pStyle w:val="Sinespaciado"/>
        <w:jc w:val="both"/>
        <w:rPr>
          <w:rFonts w:ascii="Palatino Linotype" w:hAnsi="Palatino Linotype"/>
          <w:sz w:val="23"/>
          <w:szCs w:val="23"/>
          <w:lang w:val="es-CO"/>
        </w:rPr>
      </w:pPr>
    </w:p>
    <w:p w14:paraId="69BDD82A" w14:textId="77777777" w:rsidR="00844D61" w:rsidRPr="00443ACA" w:rsidRDefault="00844D61" w:rsidP="00443ACA">
      <w:pPr>
        <w:pStyle w:val="Sinespaciado"/>
        <w:jc w:val="both"/>
        <w:rPr>
          <w:rFonts w:ascii="Palatino Linotype" w:hAnsi="Palatino Linotype"/>
          <w:b/>
          <w:sz w:val="23"/>
          <w:szCs w:val="23"/>
          <w:lang w:val="es-CO"/>
        </w:rPr>
      </w:pPr>
      <w:r w:rsidRPr="00443ACA">
        <w:rPr>
          <w:rFonts w:ascii="Palatino Linotype" w:hAnsi="Palatino Linotype"/>
          <w:b/>
          <w:sz w:val="23"/>
          <w:szCs w:val="23"/>
          <w:lang w:val="es-CO"/>
        </w:rPr>
        <w:t xml:space="preserve">María Fernanda Quiñones </w:t>
      </w:r>
    </w:p>
    <w:p w14:paraId="331ABB5F" w14:textId="77777777" w:rsidR="00844D61" w:rsidRPr="00443ACA" w:rsidRDefault="00844D61" w:rsidP="00443ACA">
      <w:pPr>
        <w:pStyle w:val="Sinespaciado"/>
        <w:jc w:val="both"/>
        <w:rPr>
          <w:rFonts w:ascii="Palatino Linotype" w:hAnsi="Palatino Linotype"/>
          <w:sz w:val="23"/>
          <w:szCs w:val="23"/>
          <w:lang w:val="es-CO"/>
        </w:rPr>
      </w:pPr>
      <w:r w:rsidRPr="00443ACA">
        <w:rPr>
          <w:rFonts w:ascii="Palatino Linotype" w:hAnsi="Palatino Linotype"/>
          <w:sz w:val="23"/>
          <w:szCs w:val="23"/>
          <w:lang w:val="es-CO"/>
        </w:rPr>
        <w:t xml:space="preserve">Presidente Ejecutiva </w:t>
      </w:r>
    </w:p>
    <w:p w14:paraId="58EDEEA0" w14:textId="77777777" w:rsidR="00844D61" w:rsidRPr="00443ACA" w:rsidRDefault="00844D61" w:rsidP="00443ACA">
      <w:pPr>
        <w:pStyle w:val="Sinespaciado"/>
        <w:jc w:val="both"/>
        <w:rPr>
          <w:rFonts w:ascii="Palatino Linotype" w:hAnsi="Palatino Linotype" w:cs="Times"/>
          <w:sz w:val="23"/>
          <w:szCs w:val="23"/>
          <w:lang w:val="es-CO"/>
        </w:rPr>
      </w:pPr>
    </w:p>
    <w:p w14:paraId="2C7090B8" w14:textId="76B069FD" w:rsidR="00637FD0" w:rsidRPr="00443ACA" w:rsidRDefault="00637FD0" w:rsidP="00844D61">
      <w:pPr>
        <w:rPr>
          <w:sz w:val="23"/>
          <w:szCs w:val="23"/>
          <w:lang w:val="es-CO"/>
        </w:rPr>
      </w:pPr>
      <w:bookmarkStart w:id="0" w:name="_GoBack"/>
      <w:bookmarkEnd w:id="0"/>
    </w:p>
    <w:sectPr w:rsidR="00637FD0" w:rsidRPr="00443ACA">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9D42A" w14:textId="77777777" w:rsidR="005E7969" w:rsidRDefault="005E7969" w:rsidP="00FF1CF0">
      <w:pPr>
        <w:spacing w:line="240" w:lineRule="auto"/>
      </w:pPr>
      <w:r>
        <w:separator/>
      </w:r>
    </w:p>
  </w:endnote>
  <w:endnote w:type="continuationSeparator" w:id="0">
    <w:p w14:paraId="3CFEC08C" w14:textId="77777777" w:rsidR="005E7969" w:rsidRDefault="005E7969" w:rsidP="00FF1CF0">
      <w:pPr>
        <w:spacing w:line="240" w:lineRule="auto"/>
      </w:pPr>
      <w:r>
        <w:continuationSeparator/>
      </w:r>
    </w:p>
  </w:endnote>
  <w:endnote w:type="continuationNotice" w:id="1">
    <w:p w14:paraId="332D0E85" w14:textId="77777777" w:rsidR="005E7969" w:rsidRDefault="005E79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auto"/>
    <w:pitch w:val="variable"/>
    <w:sig w:usb0="00000003" w:usb1="00000000" w:usb2="00000000" w:usb3="00000000" w:csb0="00000001" w:csb1="00000000"/>
  </w:font>
  <w:font w:name="Myriad Roman">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3718458"/>
      <w:docPartObj>
        <w:docPartGallery w:val="Page Numbers (Bottom of Page)"/>
        <w:docPartUnique/>
      </w:docPartObj>
    </w:sdtPr>
    <w:sdtEndPr/>
    <w:sdtContent>
      <w:p w14:paraId="5221C8FF" w14:textId="77777777" w:rsidR="000D1AC3" w:rsidRDefault="000D1AC3">
        <w:pPr>
          <w:pStyle w:val="Piedepgina"/>
          <w:jc w:val="center"/>
        </w:pPr>
        <w:r>
          <w:rPr>
            <w:noProof/>
            <w:lang w:val="es-ES" w:eastAsia="es-ES"/>
          </w:rPr>
          <w:drawing>
            <wp:anchor distT="0" distB="0" distL="114300" distR="114300" simplePos="0" relativeHeight="251658752" behindDoc="0" locked="0" layoutInCell="1" allowOverlap="1" wp14:anchorId="07205F75" wp14:editId="7FFAC545">
              <wp:simplePos x="0" y="0"/>
              <wp:positionH relativeFrom="page">
                <wp:posOffset>-38100</wp:posOffset>
              </wp:positionH>
              <wp:positionV relativeFrom="paragraph">
                <wp:posOffset>261620</wp:posOffset>
              </wp:positionV>
              <wp:extent cx="7595235" cy="46355"/>
              <wp:effectExtent l="0" t="0" r="5715" b="0"/>
              <wp:wrapThrough wrapText="bothSides">
                <wp:wrapPolygon edited="0">
                  <wp:start x="0" y="0"/>
                  <wp:lineTo x="0" y="8877"/>
                  <wp:lineTo x="21562" y="8877"/>
                  <wp:lineTo x="21562"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membrete.png"/>
                      <pic:cNvPicPr/>
                    </pic:nvPicPr>
                    <pic:blipFill>
                      <a:blip r:embed="rId1">
                        <a:extLst>
                          <a:ext uri="{28A0092B-C50C-407E-A947-70E740481C1C}">
                            <a14:useLocalDpi xmlns:a14="http://schemas.microsoft.com/office/drawing/2010/main" val="0"/>
                          </a:ext>
                        </a:extLst>
                      </a:blip>
                      <a:stretch>
                        <a:fillRect/>
                      </a:stretch>
                    </pic:blipFill>
                    <pic:spPr>
                      <a:xfrm>
                        <a:off x="0" y="0"/>
                        <a:ext cx="7595235" cy="46355"/>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7728" behindDoc="0" locked="0" layoutInCell="1" allowOverlap="1" wp14:anchorId="526EE9FE" wp14:editId="04138DEB">
                  <wp:simplePos x="0" y="0"/>
                  <wp:positionH relativeFrom="page">
                    <wp:posOffset>-38100</wp:posOffset>
                  </wp:positionH>
                  <wp:positionV relativeFrom="paragraph">
                    <wp:posOffset>262255</wp:posOffset>
                  </wp:positionV>
                  <wp:extent cx="7429500"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7429500" cy="276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65FB2D" w14:textId="77777777" w:rsidR="000D1AC3" w:rsidRPr="008C21CB" w:rsidRDefault="000D1AC3" w:rsidP="00320EA6">
                              <w:pPr>
                                <w:jc w:val="center"/>
                                <w:rPr>
                                  <w:rFonts w:ascii="Myriad Roman" w:hAnsi="Myriad Roman"/>
                                  <w:color w:val="17365D" w:themeColor="text2" w:themeShade="BF"/>
                                </w:rPr>
                              </w:pPr>
                              <w:r>
                                <w:rPr>
                                  <w:rFonts w:ascii="Myriad Roman" w:hAnsi="Myriad Roman"/>
                                  <w:color w:val="17365D" w:themeColor="text2" w:themeShade="BF"/>
                                </w:rPr>
                                <w:t>Carrera 10 # 97A - 13 Of. 304</w:t>
                              </w:r>
                              <w:r w:rsidRPr="008C21CB">
                                <w:rPr>
                                  <w:rFonts w:ascii="Myriad Roman" w:hAnsi="Myriad Roman"/>
                                  <w:color w:val="17365D" w:themeColor="text2" w:themeShade="BF"/>
                                </w:rPr>
                                <w:t xml:space="preserve"> - Bogotá, Colombia -  Tel: (57-1) 3004537</w:t>
                              </w:r>
                              <w:r>
                                <w:rPr>
                                  <w:rFonts w:ascii="Myriad Roman" w:hAnsi="Myriad Roman"/>
                                  <w:color w:val="17365D" w:themeColor="text2" w:themeShade="BF"/>
                                </w:rPr>
                                <w:t>, (57) 320 4258673 Skype</w:t>
                              </w:r>
                              <w:r w:rsidRPr="008C21CB">
                                <w:rPr>
                                  <w:rFonts w:ascii="Myriad Roman" w:hAnsi="Myriad Roman"/>
                                  <w:color w:val="17365D" w:themeColor="text2" w:themeShade="BF"/>
                                </w:rPr>
                                <w:t>: cccelectronico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EE9FE" id="_x0000_t202" coordsize="21600,21600" o:spt="202" path="m,l,21600r21600,l21600,xe">
                  <v:stroke joinstyle="miter"/>
                  <v:path gradientshapeok="t" o:connecttype="rect"/>
                </v:shapetype>
                <v:shape id="Cuadro de texto 2" o:spid="_x0000_s1026" type="#_x0000_t202" style="position:absolute;left:0;text-align:left;margin-left:-3pt;margin-top:20.65pt;width:585pt;height:2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" filled="f" stroked="f">
                  <v:textbox>
                    <w:txbxContent>
                      <w:p w14:paraId="0C65FB2D" w14:textId="77777777" w:rsidR="000D1AC3" w:rsidRPr="008C21CB" w:rsidRDefault="000D1AC3" w:rsidP="00320EA6">
                        <w:pPr>
                          <w:jc w:val="center"/>
                          <w:rPr>
                            <w:rFonts w:ascii="Myriad Roman" w:hAnsi="Myriad Roman"/>
                            <w:color w:val="17365D" w:themeColor="text2" w:themeShade="BF"/>
                          </w:rPr>
                        </w:pPr>
                        <w:r>
                          <w:rPr>
                            <w:rFonts w:ascii="Myriad Roman" w:hAnsi="Myriad Roman"/>
                            <w:color w:val="17365D" w:themeColor="text2" w:themeShade="BF"/>
                          </w:rPr>
                          <w:t>Carrera 10 # 97A - 13 Of. 304</w:t>
                        </w:r>
                        <w:r w:rsidRPr="008C21CB">
                          <w:rPr>
                            <w:rFonts w:ascii="Myriad Roman" w:hAnsi="Myriad Roman"/>
                            <w:color w:val="17365D" w:themeColor="text2" w:themeShade="BF"/>
                          </w:rPr>
                          <w:t xml:space="preserve"> - Bogotá, Colombia -  Tel: (57-1) 3004537</w:t>
                        </w:r>
                        <w:r>
                          <w:rPr>
                            <w:rFonts w:ascii="Myriad Roman" w:hAnsi="Myriad Roman"/>
                            <w:color w:val="17365D" w:themeColor="text2" w:themeShade="BF"/>
                          </w:rPr>
                          <w:t>, (57) 320 4258673 Skype</w:t>
                        </w:r>
                        <w:r w:rsidRPr="008C21CB">
                          <w:rPr>
                            <w:rFonts w:ascii="Myriad Roman" w:hAnsi="Myriad Roman"/>
                            <w:color w:val="17365D" w:themeColor="text2" w:themeShade="BF"/>
                          </w:rPr>
                          <w:t>: cccelectronico</w:t>
                        </w:r>
                      </w:p>
                    </w:txbxContent>
                  </v:textbox>
                  <w10:wrap anchorx="page"/>
                </v:shape>
              </w:pict>
            </mc:Fallback>
          </mc:AlternateContent>
        </w:r>
        <w:r>
          <w:fldChar w:fldCharType="begin"/>
        </w:r>
        <w:r>
          <w:instrText>PAGE   \* MERGEFORMAT</w:instrText>
        </w:r>
        <w:r>
          <w:fldChar w:fldCharType="separate"/>
        </w:r>
        <w:r w:rsidR="00907D89" w:rsidRPr="00907D89">
          <w:rPr>
            <w:noProof/>
            <w:lang w:val="es-ES"/>
          </w:rPr>
          <w:t>1</w:t>
        </w:r>
        <w:r>
          <w:fldChar w:fldCharType="end"/>
        </w:r>
      </w:p>
    </w:sdtContent>
  </w:sdt>
  <w:p w14:paraId="7528ADFC" w14:textId="77777777" w:rsidR="000D1AC3" w:rsidRDefault="000D1A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36ABF" w14:textId="77777777" w:rsidR="005E7969" w:rsidRDefault="005E7969" w:rsidP="00FF1CF0">
      <w:pPr>
        <w:spacing w:line="240" w:lineRule="auto"/>
      </w:pPr>
      <w:r>
        <w:separator/>
      </w:r>
    </w:p>
  </w:footnote>
  <w:footnote w:type="continuationSeparator" w:id="0">
    <w:p w14:paraId="1AAB8DA2" w14:textId="77777777" w:rsidR="005E7969" w:rsidRDefault="005E7969" w:rsidP="00FF1CF0">
      <w:pPr>
        <w:spacing w:line="240" w:lineRule="auto"/>
      </w:pPr>
      <w:r>
        <w:continuationSeparator/>
      </w:r>
    </w:p>
  </w:footnote>
  <w:footnote w:type="continuationNotice" w:id="1">
    <w:p w14:paraId="40C21FED" w14:textId="77777777" w:rsidR="005E7969" w:rsidRDefault="005E79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4895" w14:textId="5BBB4C1C" w:rsidR="000D1AC3" w:rsidRDefault="000D1AC3">
    <w:pPr>
      <w:pStyle w:val="Encabezado"/>
    </w:pPr>
    <w:r>
      <w:rPr>
        <w:noProof/>
        <w:lang w:val="es-ES" w:eastAsia="es-ES"/>
      </w:rPr>
      <w:drawing>
        <wp:anchor distT="0" distB="0" distL="114300" distR="114300" simplePos="0" relativeHeight="251659264" behindDoc="0" locked="0" layoutInCell="1" allowOverlap="1" wp14:anchorId="66F00956" wp14:editId="21A30C6C">
          <wp:simplePos x="0" y="0"/>
          <wp:positionH relativeFrom="margin">
            <wp:posOffset>4070350</wp:posOffset>
          </wp:positionH>
          <wp:positionV relativeFrom="paragraph">
            <wp:posOffset>285750</wp:posOffset>
          </wp:positionV>
          <wp:extent cx="1616710" cy="628650"/>
          <wp:effectExtent l="0" t="0" r="254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CCE.png"/>
                  <pic:cNvPicPr/>
                </pic:nvPicPr>
                <pic:blipFill>
                  <a:blip r:embed="rId1">
                    <a:extLst>
                      <a:ext uri="{28A0092B-C50C-407E-A947-70E740481C1C}">
                        <a14:useLocalDpi xmlns:a14="http://schemas.microsoft.com/office/drawing/2010/main" val="0"/>
                      </a:ext>
                    </a:extLst>
                  </a:blip>
                  <a:stretch>
                    <a:fillRect/>
                  </a:stretch>
                </pic:blipFill>
                <pic:spPr>
                  <a:xfrm>
                    <a:off x="0" y="0"/>
                    <a:ext cx="161671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41A6FDF"/>
    <w:multiLevelType w:val="multilevel"/>
    <w:tmpl w:val="A39AEA8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ED628D3"/>
    <w:multiLevelType w:val="hybridMultilevel"/>
    <w:tmpl w:val="B55627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E519B0"/>
    <w:multiLevelType w:val="hybridMultilevel"/>
    <w:tmpl w:val="7054A5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9723947"/>
    <w:multiLevelType w:val="hybridMultilevel"/>
    <w:tmpl w:val="D2024114"/>
    <w:lvl w:ilvl="0" w:tplc="026E851A">
      <w:numFmt w:val="bullet"/>
      <w:lvlText w:val="-"/>
      <w:lvlJc w:val="left"/>
      <w:pPr>
        <w:ind w:left="1080" w:hanging="360"/>
      </w:pPr>
      <w:rPr>
        <w:rFonts w:ascii="Arial" w:eastAsia="Arial"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09166CA"/>
    <w:multiLevelType w:val="hybridMultilevel"/>
    <w:tmpl w:val="2FCE48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5B8086F"/>
    <w:multiLevelType w:val="hybridMultilevel"/>
    <w:tmpl w:val="A6AEEC9C"/>
    <w:lvl w:ilvl="0" w:tplc="C52A554E">
      <w:start w:val="1"/>
      <w:numFmt w:val="upperRoman"/>
      <w:lvlText w:val="%1."/>
      <w:lvlJc w:val="righ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77C5D20"/>
    <w:multiLevelType w:val="hybridMultilevel"/>
    <w:tmpl w:val="A5D0A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AA727EC"/>
    <w:multiLevelType w:val="hybridMultilevel"/>
    <w:tmpl w:val="69FAFA9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3FF6E6B"/>
    <w:multiLevelType w:val="hybridMultilevel"/>
    <w:tmpl w:val="9A0C23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4294340"/>
    <w:multiLevelType w:val="hybridMultilevel"/>
    <w:tmpl w:val="58FC436C"/>
    <w:lvl w:ilvl="0" w:tplc="BA226328">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A7C6AF6"/>
    <w:multiLevelType w:val="hybridMultilevel"/>
    <w:tmpl w:val="4454B4EA"/>
    <w:lvl w:ilvl="0" w:tplc="6CCC3728">
      <w:start w:val="1"/>
      <w:numFmt w:val="lowerRoman"/>
      <w:lvlText w:val="(%1)"/>
      <w:lvlJc w:val="left"/>
      <w:pPr>
        <w:ind w:left="1440" w:hanging="1080"/>
      </w:pPr>
      <w:rPr>
        <w:rFonts w:ascii="Tahoma" w:hAnsi="Tahoma" w:cs="Calibri" w:hint="default"/>
        <w:sz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15:restartNumberingAfterBreak="0">
    <w:nsid w:val="6CCF1006"/>
    <w:multiLevelType w:val="hybridMultilevel"/>
    <w:tmpl w:val="B80C3D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F41F20"/>
    <w:multiLevelType w:val="multilevel"/>
    <w:tmpl w:val="6C6C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8E2760"/>
    <w:multiLevelType w:val="hybridMultilevel"/>
    <w:tmpl w:val="A23699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8E12EF9"/>
    <w:multiLevelType w:val="hybridMultilevel"/>
    <w:tmpl w:val="2ACEA404"/>
    <w:lvl w:ilvl="0" w:tplc="B5BA50FE">
      <w:start w:val="1"/>
      <w:numFmt w:val="lowerRoman"/>
      <w:lvlText w:val="(%1)"/>
      <w:lvlJc w:val="left"/>
      <w:pPr>
        <w:ind w:left="1080" w:hanging="720"/>
      </w:pPr>
      <w:rPr>
        <w:b w:val="0"/>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7C95278A"/>
    <w:multiLevelType w:val="hybridMultilevel"/>
    <w:tmpl w:val="C804CF98"/>
    <w:lvl w:ilvl="0" w:tplc="BB20538C">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DD22DBA"/>
    <w:multiLevelType w:val="multilevel"/>
    <w:tmpl w:val="EA86B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13"/>
  </w:num>
  <w:num w:numId="4">
    <w:abstractNumId w:val="17"/>
  </w:num>
  <w:num w:numId="5">
    <w:abstractNumId w:val="8"/>
  </w:num>
  <w:num w:numId="6">
    <w:abstractNumId w:val="10"/>
  </w:num>
  <w:num w:numId="7">
    <w:abstractNumId w:val="4"/>
  </w:num>
  <w:num w:numId="8">
    <w:abstractNumId w:val="2"/>
  </w:num>
  <w:num w:numId="9">
    <w:abstractNumId w:val="7"/>
  </w:num>
  <w:num w:numId="10">
    <w:abstractNumId w:val="5"/>
  </w:num>
  <w:num w:numId="11">
    <w:abstractNumId w:val="9"/>
  </w:num>
  <w:num w:numId="12">
    <w:abstractNumId w:val="16"/>
  </w:num>
  <w:num w:numId="13">
    <w:abstractNumId w:val="14"/>
  </w:num>
  <w:num w:numId="14">
    <w:abstractNumId w:val="0"/>
    <w:lvlOverride w:ilvl="0"/>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C9E"/>
    <w:rsid w:val="000005E4"/>
    <w:rsid w:val="00011155"/>
    <w:rsid w:val="000124D8"/>
    <w:rsid w:val="000566ED"/>
    <w:rsid w:val="00074BFC"/>
    <w:rsid w:val="000D1AC3"/>
    <w:rsid w:val="00136007"/>
    <w:rsid w:val="00142D4E"/>
    <w:rsid w:val="001448BF"/>
    <w:rsid w:val="001729AC"/>
    <w:rsid w:val="00185307"/>
    <w:rsid w:val="001A7392"/>
    <w:rsid w:val="00201FD8"/>
    <w:rsid w:val="00202900"/>
    <w:rsid w:val="00204354"/>
    <w:rsid w:val="0021570D"/>
    <w:rsid w:val="00226ECC"/>
    <w:rsid w:val="00245509"/>
    <w:rsid w:val="002559AD"/>
    <w:rsid w:val="002618E4"/>
    <w:rsid w:val="0029121A"/>
    <w:rsid w:val="00297DA8"/>
    <w:rsid w:val="002A6F52"/>
    <w:rsid w:val="002C570C"/>
    <w:rsid w:val="00320EA6"/>
    <w:rsid w:val="00345423"/>
    <w:rsid w:val="00364BFB"/>
    <w:rsid w:val="0038164E"/>
    <w:rsid w:val="003A47B2"/>
    <w:rsid w:val="003B635D"/>
    <w:rsid w:val="003C5FE6"/>
    <w:rsid w:val="0040560A"/>
    <w:rsid w:val="00443ACA"/>
    <w:rsid w:val="00466557"/>
    <w:rsid w:val="00493893"/>
    <w:rsid w:val="004A3FFD"/>
    <w:rsid w:val="00583C69"/>
    <w:rsid w:val="005B48BD"/>
    <w:rsid w:val="005E7969"/>
    <w:rsid w:val="005F12BD"/>
    <w:rsid w:val="00606E5E"/>
    <w:rsid w:val="00607D8F"/>
    <w:rsid w:val="006304CC"/>
    <w:rsid w:val="006338D3"/>
    <w:rsid w:val="00637FD0"/>
    <w:rsid w:val="0064458D"/>
    <w:rsid w:val="006757DC"/>
    <w:rsid w:val="00677153"/>
    <w:rsid w:val="00681CC1"/>
    <w:rsid w:val="00694CCF"/>
    <w:rsid w:val="006D0048"/>
    <w:rsid w:val="006E0B97"/>
    <w:rsid w:val="006E2196"/>
    <w:rsid w:val="007625DE"/>
    <w:rsid w:val="0077044A"/>
    <w:rsid w:val="00773813"/>
    <w:rsid w:val="00774445"/>
    <w:rsid w:val="007A621C"/>
    <w:rsid w:val="007D0D2A"/>
    <w:rsid w:val="007E4EA3"/>
    <w:rsid w:val="0082189B"/>
    <w:rsid w:val="00840F18"/>
    <w:rsid w:val="00844D61"/>
    <w:rsid w:val="00882840"/>
    <w:rsid w:val="008872E7"/>
    <w:rsid w:val="00897E2B"/>
    <w:rsid w:val="008C3BDD"/>
    <w:rsid w:val="008E1486"/>
    <w:rsid w:val="00907D89"/>
    <w:rsid w:val="009127DA"/>
    <w:rsid w:val="00931C9E"/>
    <w:rsid w:val="00934604"/>
    <w:rsid w:val="00935FFE"/>
    <w:rsid w:val="0098024E"/>
    <w:rsid w:val="009A59F2"/>
    <w:rsid w:val="009D3D20"/>
    <w:rsid w:val="00A913E8"/>
    <w:rsid w:val="00B10B6C"/>
    <w:rsid w:val="00B13ECE"/>
    <w:rsid w:val="00B37C4C"/>
    <w:rsid w:val="00B37E9B"/>
    <w:rsid w:val="00B433BE"/>
    <w:rsid w:val="00B7042D"/>
    <w:rsid w:val="00BC7473"/>
    <w:rsid w:val="00C16A73"/>
    <w:rsid w:val="00C17F2D"/>
    <w:rsid w:val="00C33F37"/>
    <w:rsid w:val="00C56280"/>
    <w:rsid w:val="00C81292"/>
    <w:rsid w:val="00D07399"/>
    <w:rsid w:val="00D82032"/>
    <w:rsid w:val="00D8625C"/>
    <w:rsid w:val="00D96192"/>
    <w:rsid w:val="00DD099C"/>
    <w:rsid w:val="00DE4B1C"/>
    <w:rsid w:val="00DE5141"/>
    <w:rsid w:val="00E0520C"/>
    <w:rsid w:val="00E5519F"/>
    <w:rsid w:val="00F353B6"/>
    <w:rsid w:val="00F936E7"/>
    <w:rsid w:val="00F95529"/>
    <w:rsid w:val="00FA1CA8"/>
    <w:rsid w:val="00FA5533"/>
    <w:rsid w:val="00FC27E1"/>
    <w:rsid w:val="00FC53CA"/>
    <w:rsid w:val="00FD1422"/>
    <w:rsid w:val="00FD613A"/>
    <w:rsid w:val="00FF1CF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F529EA2"/>
  <w15:docId w15:val="{8EDFF42F-1A80-4F28-BC28-B03572C5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s-ES_trad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2A6F52"/>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A6F52"/>
    <w:rPr>
      <w:rFonts w:ascii="Lucida Grande" w:hAnsi="Lucida Grande" w:cs="Lucida Grande"/>
      <w:sz w:val="18"/>
      <w:szCs w:val="18"/>
    </w:rPr>
  </w:style>
  <w:style w:type="paragraph" w:customStyle="1" w:styleId="Default">
    <w:name w:val="Default"/>
    <w:rsid w:val="00B433BE"/>
    <w:pPr>
      <w:autoSpaceDE w:val="0"/>
      <w:autoSpaceDN w:val="0"/>
      <w:adjustRightInd w:val="0"/>
      <w:spacing w:line="240" w:lineRule="auto"/>
    </w:pPr>
    <w:rPr>
      <w:rFonts w:eastAsiaTheme="minorHAnsi"/>
      <w:color w:val="000000"/>
      <w:sz w:val="24"/>
      <w:szCs w:val="24"/>
      <w:lang w:val="es-CO" w:eastAsia="en-US"/>
    </w:rPr>
  </w:style>
  <w:style w:type="paragraph" w:styleId="Prrafodelista">
    <w:name w:val="List Paragraph"/>
    <w:basedOn w:val="Normal"/>
    <w:uiPriority w:val="34"/>
    <w:qFormat/>
    <w:rsid w:val="00B433BE"/>
    <w:pPr>
      <w:overflowPunct w:val="0"/>
      <w:autoSpaceDE w:val="0"/>
      <w:autoSpaceDN w:val="0"/>
      <w:spacing w:before="120" w:line="240" w:lineRule="auto"/>
      <w:ind w:left="720"/>
      <w:contextualSpacing/>
      <w:jc w:val="both"/>
    </w:pPr>
    <w:rPr>
      <w:rFonts w:ascii="Calibri" w:eastAsiaTheme="minorHAnsi" w:hAnsi="Calibri" w:cs="Calibri"/>
      <w:lang w:val="es-CO" w:eastAsia="en-US"/>
    </w:rPr>
  </w:style>
  <w:style w:type="paragraph" w:styleId="Textonotapie">
    <w:name w:val="footnote text"/>
    <w:basedOn w:val="Normal"/>
    <w:link w:val="TextonotapieCar"/>
    <w:uiPriority w:val="99"/>
    <w:unhideWhenUsed/>
    <w:rsid w:val="00FF1CF0"/>
    <w:pPr>
      <w:spacing w:line="240" w:lineRule="auto"/>
    </w:pPr>
    <w:rPr>
      <w:rFonts w:asciiTheme="minorHAnsi" w:eastAsiaTheme="minorEastAsia" w:hAnsiTheme="minorHAnsi" w:cstheme="minorBidi"/>
      <w:sz w:val="24"/>
      <w:szCs w:val="24"/>
      <w:lang w:val="es-ES_tradnl" w:eastAsia="es-ES"/>
    </w:rPr>
  </w:style>
  <w:style w:type="character" w:customStyle="1" w:styleId="TextonotapieCar">
    <w:name w:val="Texto nota pie Car"/>
    <w:basedOn w:val="Fuentedeprrafopredeter"/>
    <w:link w:val="Textonotapie"/>
    <w:uiPriority w:val="99"/>
    <w:rsid w:val="00FF1CF0"/>
    <w:rPr>
      <w:rFonts w:asciiTheme="minorHAnsi" w:eastAsiaTheme="minorEastAsia" w:hAnsiTheme="minorHAnsi" w:cstheme="minorBidi"/>
      <w:sz w:val="24"/>
      <w:szCs w:val="24"/>
      <w:lang w:val="es-ES_tradnl" w:eastAsia="es-ES"/>
    </w:rPr>
  </w:style>
  <w:style w:type="character" w:styleId="Refdenotaalpie">
    <w:name w:val="footnote reference"/>
    <w:basedOn w:val="Fuentedeprrafopredeter"/>
    <w:uiPriority w:val="99"/>
    <w:unhideWhenUsed/>
    <w:rsid w:val="00FF1CF0"/>
    <w:rPr>
      <w:vertAlign w:val="superscript"/>
    </w:rPr>
  </w:style>
  <w:style w:type="paragraph" w:styleId="NormalWeb">
    <w:name w:val="Normal (Web)"/>
    <w:basedOn w:val="Normal"/>
    <w:uiPriority w:val="99"/>
    <w:semiHidden/>
    <w:unhideWhenUsed/>
    <w:rsid w:val="00773813"/>
    <w:pPr>
      <w:spacing w:before="100" w:beforeAutospacing="1" w:after="100" w:afterAutospacing="1" w:line="240" w:lineRule="auto"/>
    </w:pPr>
    <w:rPr>
      <w:rFonts w:ascii="Times New Roman" w:hAnsi="Times New Roman" w:cs="Times New Roman"/>
      <w:sz w:val="24"/>
      <w:szCs w:val="24"/>
      <w:lang w:val="es-ES_tradnl"/>
    </w:rPr>
  </w:style>
  <w:style w:type="paragraph" w:styleId="Encabezado">
    <w:name w:val="header"/>
    <w:basedOn w:val="Normal"/>
    <w:link w:val="EncabezadoCar"/>
    <w:uiPriority w:val="99"/>
    <w:unhideWhenUsed/>
    <w:rsid w:val="00320EA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0EA6"/>
  </w:style>
  <w:style w:type="paragraph" w:styleId="Piedepgina">
    <w:name w:val="footer"/>
    <w:basedOn w:val="Normal"/>
    <w:link w:val="PiedepginaCar"/>
    <w:uiPriority w:val="99"/>
    <w:unhideWhenUsed/>
    <w:rsid w:val="00320EA6"/>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20EA6"/>
  </w:style>
  <w:style w:type="paragraph" w:customStyle="1" w:styleId="Normal1">
    <w:name w:val="Normal1"/>
    <w:uiPriority w:val="99"/>
    <w:rsid w:val="00185307"/>
    <w:rPr>
      <w:color w:val="000000"/>
      <w:lang w:val="uz-Cyrl-UZ" w:eastAsia="es-ES"/>
    </w:rPr>
  </w:style>
  <w:style w:type="character" w:styleId="Hipervnculo">
    <w:name w:val="Hyperlink"/>
    <w:basedOn w:val="Fuentedeprrafopredeter"/>
    <w:uiPriority w:val="99"/>
    <w:unhideWhenUsed/>
    <w:rsid w:val="003B635D"/>
    <w:rPr>
      <w:color w:val="0000FF" w:themeColor="hyperlink"/>
      <w:u w:val="single"/>
    </w:rPr>
  </w:style>
  <w:style w:type="paragraph" w:styleId="Revisin">
    <w:name w:val="Revision"/>
    <w:hidden/>
    <w:uiPriority w:val="99"/>
    <w:semiHidden/>
    <w:rsid w:val="007A621C"/>
    <w:pPr>
      <w:spacing w:line="240" w:lineRule="auto"/>
    </w:pPr>
  </w:style>
  <w:style w:type="table" w:styleId="Tablaconcuadrcula">
    <w:name w:val="Table Grid"/>
    <w:basedOn w:val="Tablanormal"/>
    <w:uiPriority w:val="39"/>
    <w:rsid w:val="006D0048"/>
    <w:pPr>
      <w:spacing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E4B1C"/>
    <w:pPr>
      <w:spacing w:line="240" w:lineRule="auto"/>
    </w:pPr>
  </w:style>
  <w:style w:type="paragraph" w:customStyle="1" w:styleId="Cuerpo">
    <w:name w:val="Cuerpo"/>
    <w:uiPriority w:val="99"/>
    <w:rsid w:val="00844D61"/>
    <w:pPr>
      <w:spacing w:line="240" w:lineRule="auto"/>
    </w:pPr>
    <w:rPr>
      <w:rFonts w:ascii="Times New Roman" w:eastAsia="Times New Roman" w:hAnsi="Times New Roman" w:cs="Times New Roman"/>
      <w:color w:val="000000"/>
      <w:sz w:val="24"/>
      <w:szCs w:val="24"/>
      <w:u w:color="000000"/>
      <w:lang w:val="es-CO" w:eastAsia="es-CO"/>
    </w:rPr>
  </w:style>
  <w:style w:type="character" w:customStyle="1" w:styleId="apple-converted-space">
    <w:name w:val="apple-converted-space"/>
    <w:basedOn w:val="Fuentedeprrafopredeter"/>
    <w:rsid w:val="0084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40687">
      <w:bodyDiv w:val="1"/>
      <w:marLeft w:val="0"/>
      <w:marRight w:val="0"/>
      <w:marTop w:val="0"/>
      <w:marBottom w:val="0"/>
      <w:divBdr>
        <w:top w:val="none" w:sz="0" w:space="0" w:color="auto"/>
        <w:left w:val="none" w:sz="0" w:space="0" w:color="auto"/>
        <w:bottom w:val="none" w:sz="0" w:space="0" w:color="auto"/>
        <w:right w:val="none" w:sz="0" w:space="0" w:color="auto"/>
      </w:divBdr>
    </w:div>
    <w:div w:id="418717974">
      <w:bodyDiv w:val="1"/>
      <w:marLeft w:val="0"/>
      <w:marRight w:val="0"/>
      <w:marTop w:val="0"/>
      <w:marBottom w:val="0"/>
      <w:divBdr>
        <w:top w:val="none" w:sz="0" w:space="0" w:color="auto"/>
        <w:left w:val="none" w:sz="0" w:space="0" w:color="auto"/>
        <w:bottom w:val="none" w:sz="0" w:space="0" w:color="auto"/>
        <w:right w:val="none" w:sz="0" w:space="0" w:color="auto"/>
      </w:divBdr>
      <w:divsChild>
        <w:div w:id="490021053">
          <w:marLeft w:val="720"/>
          <w:marRight w:val="0"/>
          <w:marTop w:val="0"/>
          <w:marBottom w:val="0"/>
          <w:divBdr>
            <w:top w:val="none" w:sz="0" w:space="0" w:color="auto"/>
            <w:left w:val="none" w:sz="0" w:space="0" w:color="auto"/>
            <w:bottom w:val="none" w:sz="0" w:space="0" w:color="auto"/>
            <w:right w:val="none" w:sz="0" w:space="0" w:color="auto"/>
          </w:divBdr>
        </w:div>
      </w:divsChild>
    </w:div>
    <w:div w:id="812873663">
      <w:bodyDiv w:val="1"/>
      <w:marLeft w:val="0"/>
      <w:marRight w:val="0"/>
      <w:marTop w:val="0"/>
      <w:marBottom w:val="0"/>
      <w:divBdr>
        <w:top w:val="none" w:sz="0" w:space="0" w:color="auto"/>
        <w:left w:val="none" w:sz="0" w:space="0" w:color="auto"/>
        <w:bottom w:val="none" w:sz="0" w:space="0" w:color="auto"/>
        <w:right w:val="none" w:sz="0" w:space="0" w:color="auto"/>
      </w:divBdr>
      <w:divsChild>
        <w:div w:id="1695155498">
          <w:marLeft w:val="0"/>
          <w:marRight w:val="0"/>
          <w:marTop w:val="0"/>
          <w:marBottom w:val="0"/>
          <w:divBdr>
            <w:top w:val="none" w:sz="0" w:space="0" w:color="auto"/>
            <w:left w:val="none" w:sz="0" w:space="0" w:color="auto"/>
            <w:bottom w:val="none" w:sz="0" w:space="0" w:color="auto"/>
            <w:right w:val="none" w:sz="0" w:space="0" w:color="auto"/>
          </w:divBdr>
          <w:divsChild>
            <w:div w:id="1556618905">
              <w:marLeft w:val="0"/>
              <w:marRight w:val="0"/>
              <w:marTop w:val="0"/>
              <w:marBottom w:val="0"/>
              <w:divBdr>
                <w:top w:val="none" w:sz="0" w:space="0" w:color="auto"/>
                <w:left w:val="none" w:sz="0" w:space="0" w:color="auto"/>
                <w:bottom w:val="none" w:sz="0" w:space="0" w:color="auto"/>
                <w:right w:val="none" w:sz="0" w:space="0" w:color="auto"/>
              </w:divBdr>
              <w:divsChild>
                <w:div w:id="1177694641">
                  <w:marLeft w:val="0"/>
                  <w:marRight w:val="0"/>
                  <w:marTop w:val="0"/>
                  <w:marBottom w:val="0"/>
                  <w:divBdr>
                    <w:top w:val="none" w:sz="0" w:space="0" w:color="auto"/>
                    <w:left w:val="none" w:sz="0" w:space="0" w:color="auto"/>
                    <w:bottom w:val="none" w:sz="0" w:space="0" w:color="auto"/>
                    <w:right w:val="none" w:sz="0" w:space="0" w:color="auto"/>
                  </w:divBdr>
                  <w:divsChild>
                    <w:div w:id="3031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6240">
      <w:bodyDiv w:val="1"/>
      <w:marLeft w:val="0"/>
      <w:marRight w:val="0"/>
      <w:marTop w:val="0"/>
      <w:marBottom w:val="0"/>
      <w:divBdr>
        <w:top w:val="none" w:sz="0" w:space="0" w:color="auto"/>
        <w:left w:val="none" w:sz="0" w:space="0" w:color="auto"/>
        <w:bottom w:val="none" w:sz="0" w:space="0" w:color="auto"/>
        <w:right w:val="none" w:sz="0" w:space="0" w:color="auto"/>
      </w:divBdr>
    </w:div>
    <w:div w:id="1383596378">
      <w:bodyDiv w:val="1"/>
      <w:marLeft w:val="0"/>
      <w:marRight w:val="0"/>
      <w:marTop w:val="0"/>
      <w:marBottom w:val="0"/>
      <w:divBdr>
        <w:top w:val="none" w:sz="0" w:space="0" w:color="auto"/>
        <w:left w:val="none" w:sz="0" w:space="0" w:color="auto"/>
        <w:bottom w:val="none" w:sz="0" w:space="0" w:color="auto"/>
        <w:right w:val="none" w:sz="0" w:space="0" w:color="auto"/>
      </w:divBdr>
    </w:div>
    <w:div w:id="1450659191">
      <w:bodyDiv w:val="1"/>
      <w:marLeft w:val="0"/>
      <w:marRight w:val="0"/>
      <w:marTop w:val="0"/>
      <w:marBottom w:val="0"/>
      <w:divBdr>
        <w:top w:val="none" w:sz="0" w:space="0" w:color="auto"/>
        <w:left w:val="none" w:sz="0" w:space="0" w:color="auto"/>
        <w:bottom w:val="none" w:sz="0" w:space="0" w:color="auto"/>
        <w:right w:val="none" w:sz="0" w:space="0" w:color="auto"/>
      </w:divBdr>
    </w:div>
    <w:div w:id="1793086067">
      <w:bodyDiv w:val="1"/>
      <w:marLeft w:val="0"/>
      <w:marRight w:val="0"/>
      <w:marTop w:val="0"/>
      <w:marBottom w:val="0"/>
      <w:divBdr>
        <w:top w:val="none" w:sz="0" w:space="0" w:color="auto"/>
        <w:left w:val="none" w:sz="0" w:space="0" w:color="auto"/>
        <w:bottom w:val="none" w:sz="0" w:space="0" w:color="auto"/>
        <w:right w:val="none" w:sz="0" w:space="0" w:color="auto"/>
      </w:divBdr>
    </w:div>
    <w:div w:id="1850872645">
      <w:bodyDiv w:val="1"/>
      <w:marLeft w:val="0"/>
      <w:marRight w:val="0"/>
      <w:marTop w:val="0"/>
      <w:marBottom w:val="0"/>
      <w:divBdr>
        <w:top w:val="none" w:sz="0" w:space="0" w:color="auto"/>
        <w:left w:val="none" w:sz="0" w:space="0" w:color="auto"/>
        <w:bottom w:val="none" w:sz="0" w:space="0" w:color="auto"/>
        <w:right w:val="none" w:sz="0" w:space="0" w:color="auto"/>
      </w:divBdr>
    </w:div>
    <w:div w:id="1873036216">
      <w:bodyDiv w:val="1"/>
      <w:marLeft w:val="0"/>
      <w:marRight w:val="0"/>
      <w:marTop w:val="0"/>
      <w:marBottom w:val="0"/>
      <w:divBdr>
        <w:top w:val="none" w:sz="0" w:space="0" w:color="auto"/>
        <w:left w:val="none" w:sz="0" w:space="0" w:color="auto"/>
        <w:bottom w:val="none" w:sz="0" w:space="0" w:color="auto"/>
        <w:right w:val="none" w:sz="0" w:space="0" w:color="auto"/>
      </w:divBdr>
    </w:div>
    <w:div w:id="1886944984">
      <w:bodyDiv w:val="1"/>
      <w:marLeft w:val="0"/>
      <w:marRight w:val="0"/>
      <w:marTop w:val="0"/>
      <w:marBottom w:val="0"/>
      <w:divBdr>
        <w:top w:val="none" w:sz="0" w:space="0" w:color="auto"/>
        <w:left w:val="none" w:sz="0" w:space="0" w:color="auto"/>
        <w:bottom w:val="none" w:sz="0" w:space="0" w:color="auto"/>
        <w:right w:val="none" w:sz="0" w:space="0" w:color="auto"/>
      </w:divBdr>
    </w:div>
    <w:div w:id="2023778785">
      <w:bodyDiv w:val="1"/>
      <w:marLeft w:val="0"/>
      <w:marRight w:val="0"/>
      <w:marTop w:val="0"/>
      <w:marBottom w:val="0"/>
      <w:divBdr>
        <w:top w:val="none" w:sz="0" w:space="0" w:color="auto"/>
        <w:left w:val="none" w:sz="0" w:space="0" w:color="auto"/>
        <w:bottom w:val="none" w:sz="0" w:space="0" w:color="auto"/>
        <w:right w:val="none" w:sz="0" w:space="0" w:color="auto"/>
      </w:divBdr>
    </w:div>
    <w:div w:id="2089840659">
      <w:bodyDiv w:val="1"/>
      <w:marLeft w:val="0"/>
      <w:marRight w:val="0"/>
      <w:marTop w:val="0"/>
      <w:marBottom w:val="0"/>
      <w:divBdr>
        <w:top w:val="none" w:sz="0" w:space="0" w:color="auto"/>
        <w:left w:val="none" w:sz="0" w:space="0" w:color="auto"/>
        <w:bottom w:val="none" w:sz="0" w:space="0" w:color="auto"/>
        <w:right w:val="none" w:sz="0" w:space="0" w:color="auto"/>
      </w:divBdr>
      <w:divsChild>
        <w:div w:id="856850347">
          <w:marLeft w:val="72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C8B4F7EC-7E28-4636-A7E5-277FC4A8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2342</Words>
  <Characters>12882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 CCCE</dc:creator>
  <cp:lastModifiedBy>Presidencia</cp:lastModifiedBy>
  <cp:revision>4</cp:revision>
  <cp:lastPrinted>2018-08-01T22:14:00Z</cp:lastPrinted>
  <dcterms:created xsi:type="dcterms:W3CDTF">2018-12-03T22:31:00Z</dcterms:created>
  <dcterms:modified xsi:type="dcterms:W3CDTF">2018-12-03T22:48:00Z</dcterms:modified>
</cp:coreProperties>
</file>